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23FA" w14:textId="4CDA7611" w:rsidR="007D2A08" w:rsidRPr="007D2A08" w:rsidRDefault="007D2A08" w:rsidP="007D2A08">
      <w:pPr>
        <w:rPr>
          <w:sz w:val="12"/>
          <w:szCs w:val="12"/>
        </w:rPr>
      </w:pPr>
      <w:r w:rsidRPr="007D2A08">
        <w:rPr>
          <w:b/>
          <w:bCs/>
          <w:sz w:val="12"/>
          <w:szCs w:val="12"/>
        </w:rPr>
        <w:t xml:space="preserve">Pokyny a informácie o používaní obuvi </w:t>
      </w:r>
      <w:r w:rsidR="00644AA9">
        <w:rPr>
          <w:b/>
          <w:bCs/>
          <w:sz w:val="12"/>
          <w:szCs w:val="12"/>
        </w:rPr>
        <w:t xml:space="preserve">FORCE </w:t>
      </w:r>
      <w:r w:rsidRPr="007D2A08">
        <w:rPr>
          <w:b/>
          <w:bCs/>
          <w:sz w:val="12"/>
          <w:szCs w:val="12"/>
        </w:rPr>
        <w:t xml:space="preserve"> S3</w:t>
      </w:r>
      <w:r w:rsidRPr="007D2A08">
        <w:rPr>
          <w:sz w:val="12"/>
          <w:szCs w:val="12"/>
        </w:rPr>
        <w:t xml:space="preserve"> (v súlade s nariadením (EÚ) 2016/425 o osobných ochranných prostriedkoch a EN ISO 20345:2011).</w:t>
      </w:r>
    </w:p>
    <w:p w14:paraId="705F3331" w14:textId="77777777" w:rsidR="007D2A08" w:rsidRPr="007D2A08" w:rsidRDefault="007D2A08" w:rsidP="007D2A08">
      <w:pPr>
        <w:rPr>
          <w:sz w:val="12"/>
          <w:szCs w:val="12"/>
        </w:rPr>
      </w:pPr>
      <w:r w:rsidRPr="007D2A08">
        <w:rPr>
          <w:b/>
          <w:bCs/>
          <w:sz w:val="12"/>
          <w:szCs w:val="12"/>
        </w:rPr>
        <w:t>Výrobca:</w:t>
      </w:r>
      <w:r w:rsidRPr="007D2A08">
        <w:rPr>
          <w:sz w:val="12"/>
          <w:szCs w:val="12"/>
        </w:rPr>
        <w:t xml:space="preserve"> „PROCERA” </w:t>
      </w:r>
      <w:proofErr w:type="spellStart"/>
      <w:r w:rsidRPr="007D2A08">
        <w:rPr>
          <w:sz w:val="12"/>
          <w:szCs w:val="12"/>
        </w:rPr>
        <w:t>Sp</w:t>
      </w:r>
      <w:proofErr w:type="spellEnd"/>
      <w:r w:rsidRPr="007D2A08">
        <w:rPr>
          <w:sz w:val="12"/>
          <w:szCs w:val="12"/>
        </w:rPr>
        <w:t xml:space="preserve">. z </w:t>
      </w:r>
      <w:proofErr w:type="spellStart"/>
      <w:r w:rsidRPr="007D2A08">
        <w:rPr>
          <w:sz w:val="12"/>
          <w:szCs w:val="12"/>
        </w:rPr>
        <w:t>o.o</w:t>
      </w:r>
      <w:proofErr w:type="spellEnd"/>
      <w:r w:rsidRPr="007D2A08">
        <w:rPr>
          <w:sz w:val="12"/>
          <w:szCs w:val="12"/>
        </w:rPr>
        <w:t xml:space="preserve">., ulica </w:t>
      </w:r>
      <w:proofErr w:type="spellStart"/>
      <w:r w:rsidRPr="007D2A08">
        <w:rPr>
          <w:sz w:val="12"/>
          <w:szCs w:val="12"/>
        </w:rPr>
        <w:t>Wały</w:t>
      </w:r>
      <w:proofErr w:type="spellEnd"/>
      <w:r w:rsidRPr="007D2A08">
        <w:rPr>
          <w:sz w:val="12"/>
          <w:szCs w:val="12"/>
        </w:rPr>
        <w:t xml:space="preserve"> </w:t>
      </w:r>
      <w:proofErr w:type="spellStart"/>
      <w:r w:rsidRPr="007D2A08">
        <w:rPr>
          <w:sz w:val="12"/>
          <w:szCs w:val="12"/>
        </w:rPr>
        <w:t>Dwernickiego</w:t>
      </w:r>
      <w:proofErr w:type="spellEnd"/>
      <w:r w:rsidRPr="007D2A08">
        <w:rPr>
          <w:sz w:val="12"/>
          <w:szCs w:val="12"/>
        </w:rPr>
        <w:t xml:space="preserve"> 123, 42-202 </w:t>
      </w:r>
      <w:proofErr w:type="spellStart"/>
      <w:r w:rsidRPr="007D2A08">
        <w:rPr>
          <w:sz w:val="12"/>
          <w:szCs w:val="12"/>
        </w:rPr>
        <w:t>Częstochowa</w:t>
      </w:r>
      <w:proofErr w:type="spellEnd"/>
      <w:r w:rsidRPr="007D2A08">
        <w:rPr>
          <w:sz w:val="12"/>
          <w:szCs w:val="12"/>
        </w:rPr>
        <w:t xml:space="preserve">, Poľsko </w:t>
      </w:r>
      <w:r w:rsidRPr="007D2A08">
        <w:rPr>
          <w:b/>
          <w:bCs/>
          <w:sz w:val="12"/>
          <w:szCs w:val="12"/>
        </w:rPr>
        <w:t>Názov a adresa notifikovaného subjektu:</w:t>
      </w:r>
      <w:r w:rsidRPr="007D2A08">
        <w:rPr>
          <w:sz w:val="12"/>
          <w:szCs w:val="12"/>
        </w:rPr>
        <w:t xml:space="preserve"> SATRA </w:t>
      </w:r>
      <w:proofErr w:type="spellStart"/>
      <w:r w:rsidRPr="007D2A08">
        <w:rPr>
          <w:sz w:val="12"/>
          <w:szCs w:val="12"/>
        </w:rPr>
        <w:t>Technology</w:t>
      </w:r>
      <w:proofErr w:type="spellEnd"/>
      <w:r w:rsidRPr="007D2A08">
        <w:rPr>
          <w:sz w:val="12"/>
          <w:szCs w:val="12"/>
        </w:rPr>
        <w:t xml:space="preserve"> </w:t>
      </w:r>
      <w:proofErr w:type="spellStart"/>
      <w:r w:rsidRPr="007D2A08">
        <w:rPr>
          <w:sz w:val="12"/>
          <w:szCs w:val="12"/>
        </w:rPr>
        <w:t>Europe</w:t>
      </w:r>
      <w:proofErr w:type="spellEnd"/>
      <w:r w:rsidRPr="007D2A08">
        <w:rPr>
          <w:sz w:val="12"/>
          <w:szCs w:val="12"/>
        </w:rPr>
        <w:t xml:space="preserve"> </w:t>
      </w:r>
      <w:proofErr w:type="spellStart"/>
      <w:r w:rsidRPr="007D2A08">
        <w:rPr>
          <w:sz w:val="12"/>
          <w:szCs w:val="12"/>
        </w:rPr>
        <w:t>Ltd</w:t>
      </w:r>
      <w:proofErr w:type="spellEnd"/>
      <w:r w:rsidRPr="007D2A08">
        <w:rPr>
          <w:sz w:val="12"/>
          <w:szCs w:val="12"/>
        </w:rPr>
        <w:t xml:space="preserve">., </w:t>
      </w:r>
      <w:proofErr w:type="spellStart"/>
      <w:r w:rsidRPr="007D2A08">
        <w:rPr>
          <w:sz w:val="12"/>
          <w:szCs w:val="12"/>
        </w:rPr>
        <w:t>Bracetown</w:t>
      </w:r>
      <w:proofErr w:type="spellEnd"/>
      <w:r w:rsidRPr="007D2A08">
        <w:rPr>
          <w:sz w:val="12"/>
          <w:szCs w:val="12"/>
        </w:rPr>
        <w:t xml:space="preserve"> Business Park, </w:t>
      </w:r>
      <w:proofErr w:type="spellStart"/>
      <w:r w:rsidRPr="007D2A08">
        <w:rPr>
          <w:sz w:val="12"/>
          <w:szCs w:val="12"/>
        </w:rPr>
        <w:t>Clonee</w:t>
      </w:r>
      <w:proofErr w:type="spellEnd"/>
      <w:r w:rsidRPr="007D2A08">
        <w:rPr>
          <w:sz w:val="12"/>
          <w:szCs w:val="12"/>
        </w:rPr>
        <w:t>, D15YN2P, Írsko (2777)</w:t>
      </w:r>
    </w:p>
    <w:p w14:paraId="0F3BC4EE" w14:textId="77777777" w:rsidR="007D2A08" w:rsidRPr="007D2A08" w:rsidRDefault="007D2A08" w:rsidP="007D2A08">
      <w:pPr>
        <w:rPr>
          <w:sz w:val="12"/>
          <w:szCs w:val="12"/>
        </w:rPr>
      </w:pPr>
      <w:r w:rsidRPr="007D2A08">
        <w:rPr>
          <w:sz w:val="12"/>
          <w:szCs w:val="12"/>
        </w:rPr>
        <w:t xml:space="preserve">Táto bezpečnostná obuv patrí medzi osobné ochranné prostriedky (OOP) definované v nariadení Európskeho parlamentu a Rady (EÚ) 2016/425 a spĺňa požiadavky tohto nariadenia: </w:t>
      </w:r>
      <w:proofErr w:type="spellStart"/>
      <w:r w:rsidRPr="007D2A08">
        <w:rPr>
          <w:sz w:val="12"/>
          <w:szCs w:val="12"/>
        </w:rPr>
        <w:t>nezávadnosť</w:t>
      </w:r>
      <w:proofErr w:type="spellEnd"/>
      <w:r w:rsidRPr="007D2A08">
        <w:rPr>
          <w:sz w:val="12"/>
          <w:szCs w:val="12"/>
        </w:rPr>
        <w:t>, pohodlie, trvanlivosť. Spĺňa taktiež požiadavky európskej normy EN ISO 20345:2011. Výrobok bol klasifikovaný ako kategória II osobných ochranných prostriedkov.</w:t>
      </w:r>
    </w:p>
    <w:p w14:paraId="02FEA81F" w14:textId="77777777" w:rsidR="007D2A08" w:rsidRPr="007D2A08" w:rsidRDefault="007D2A08" w:rsidP="007D2A08">
      <w:pPr>
        <w:rPr>
          <w:sz w:val="12"/>
          <w:szCs w:val="12"/>
        </w:rPr>
      </w:pPr>
      <w:r w:rsidRPr="007D2A08">
        <w:rPr>
          <w:sz w:val="12"/>
          <w:szCs w:val="12"/>
        </w:rPr>
        <w:t>Vždy je však potrebné mať na pamäti, že žiadny OOP nemôže poskytnúť úplnú ochranu a pri vykonávaní činností zahŕňajúcich riziká je potrebné vždy postupovať opatrne.</w:t>
      </w:r>
    </w:p>
    <w:p w14:paraId="7E844F93" w14:textId="77777777" w:rsidR="007D2A08" w:rsidRPr="007D2A08" w:rsidRDefault="007D2A08" w:rsidP="007D2A08">
      <w:pPr>
        <w:rPr>
          <w:sz w:val="12"/>
          <w:szCs w:val="12"/>
        </w:rPr>
      </w:pPr>
      <w:r w:rsidRPr="007D2A08">
        <w:rPr>
          <w:b/>
          <w:bCs/>
          <w:sz w:val="12"/>
          <w:szCs w:val="12"/>
        </w:rPr>
        <w:t>Materiál.</w:t>
      </w:r>
      <w:r w:rsidRPr="007D2A08">
        <w:rPr>
          <w:sz w:val="12"/>
          <w:szCs w:val="12"/>
        </w:rPr>
        <w:t xml:space="preserve"> Obuv je vyrobená zo syntetických a prírodných materiálov, ktoré z hľadiska výkonu a kvality spĺňajú príslušné časti normy EN ISO 20345:2011. </w:t>
      </w:r>
      <w:r w:rsidRPr="007D2A08">
        <w:rPr>
          <w:b/>
          <w:bCs/>
          <w:sz w:val="12"/>
          <w:szCs w:val="12"/>
        </w:rPr>
        <w:t>Dostupný rozsah veľkostí:</w:t>
      </w:r>
      <w:r w:rsidRPr="007D2A08">
        <w:rPr>
          <w:sz w:val="12"/>
          <w:szCs w:val="12"/>
        </w:rPr>
        <w:t xml:space="preserve"> 39-47 </w:t>
      </w:r>
      <w:r w:rsidRPr="007D2A08">
        <w:rPr>
          <w:b/>
          <w:bCs/>
          <w:sz w:val="12"/>
          <w:szCs w:val="12"/>
        </w:rPr>
        <w:t>Výrobok:</w:t>
      </w:r>
      <w:r w:rsidRPr="007D2A08">
        <w:rPr>
          <w:sz w:val="12"/>
          <w:szCs w:val="12"/>
        </w:rPr>
        <w:t xml:space="preserve"> Bezpečnostná obuv v súlade s kategóriou uvedenou v názve a na výrobku – ich podrobná charakteristika je k dispozícii u výrobcu a na webovej stránke www.procera.pl</w:t>
      </w:r>
    </w:p>
    <w:p w14:paraId="34EDC1F3" w14:textId="77777777" w:rsidR="007D2A08" w:rsidRPr="007D2A08" w:rsidRDefault="007D2A08" w:rsidP="007D2A08">
      <w:pPr>
        <w:rPr>
          <w:sz w:val="12"/>
          <w:szCs w:val="12"/>
        </w:rPr>
      </w:pPr>
      <w:r w:rsidRPr="007D2A08">
        <w:rPr>
          <w:b/>
          <w:bCs/>
          <w:sz w:val="12"/>
          <w:szCs w:val="12"/>
        </w:rPr>
        <w:t>Poznámka!</w:t>
      </w:r>
      <w:r w:rsidRPr="007D2A08">
        <w:rPr>
          <w:sz w:val="12"/>
          <w:szCs w:val="12"/>
        </w:rPr>
        <w:t xml:space="preserve"> Pred použitím si prosím starostlivo prečítajte tento návod a uschovajte si ho po celú dobu životnosti výrobku.</w:t>
      </w:r>
    </w:p>
    <w:p w14:paraId="20366850" w14:textId="77777777" w:rsidR="007D2A08" w:rsidRPr="007D2A08" w:rsidRDefault="007D2A08" w:rsidP="007D2A08">
      <w:pPr>
        <w:rPr>
          <w:sz w:val="12"/>
          <w:szCs w:val="12"/>
        </w:rPr>
      </w:pPr>
      <w:r w:rsidRPr="007D2A08">
        <w:rPr>
          <w:b/>
          <w:bCs/>
          <w:sz w:val="12"/>
          <w:szCs w:val="12"/>
        </w:rPr>
        <w:t>Určenie.</w:t>
      </w:r>
      <w:r w:rsidRPr="007D2A08">
        <w:rPr>
          <w:sz w:val="12"/>
          <w:szCs w:val="12"/>
        </w:rPr>
        <w:t xml:space="preserve"> Výrobok je navrhnutý tak, aby minimalizoval riziko zranenia, ktoré by mohlo byť spôsobené používateľom pri vykonávaní práce. Mal by sa používať v spojení s bezpečným pracovným prostredím a úplne nezabráni zraneniu, ak dôjde k nehode, ktorá prekračuje skúšobné limity stanovené v EN ISO 20345:2011. Obuv je určená na použitie v podmienkach, kde existujú nebezpečenstvá popísané vo vyššie uvedených normách, ktoré spĺňa. Pri skúškach vykonávaných v súlade s podmienkami obsiahnutými v normách bola skontrolovaná a potvrdená úroveň ochrany. Je potrebné poznamenať, že skúšobné podmienky boli prispôsobené normám a nemusia nutne odrážať podmienky na pracovisku. Kategória a úroveň ochrany sú v súlade s označením na produkte.</w:t>
      </w:r>
    </w:p>
    <w:p w14:paraId="624C8127" w14:textId="77777777" w:rsidR="007D2A08" w:rsidRPr="007D2A08" w:rsidRDefault="007D2A08" w:rsidP="007D2A08">
      <w:pPr>
        <w:rPr>
          <w:sz w:val="12"/>
          <w:szCs w:val="12"/>
        </w:rPr>
      </w:pPr>
      <w:r w:rsidRPr="007D2A08">
        <w:rPr>
          <w:b/>
          <w:bCs/>
          <w:sz w:val="12"/>
          <w:szCs w:val="12"/>
        </w:rPr>
        <w:t>Zrieknutie sa zodpovednosti/obmedzenie/vylúčenie.</w:t>
      </w:r>
      <w:r w:rsidRPr="007D2A08">
        <w:rPr>
          <w:sz w:val="12"/>
          <w:szCs w:val="12"/>
        </w:rPr>
        <w:t xml:space="preserve"> Obuv používajte iba podľa pokynov. Nemali by sa používať na iné účely, než na ktoré sú určené, nemali by sa používať vo vysoko rizikových podmienkach, vrátane prípadov, keď sú ochranné opatrenia kategórie II nedostatočné. Výrobok nie je určený na styk s ohňom. Obuv sa nesmie upravovať! Výnimkou sú ortopedické úpravy v súlade s prílohou A normy EN ISO 20345:2011. Iba nová, nepoškodená a neopravená obuv spĺňa úrovne výkonu uvedené na označení. Obuv je vyrobená z materiálov, ktoré by nemali nepriaznivo ovplyvňovať zdravie alebo hygienu, pokiaľ nositeľ nie je alergický na niektorú z ich zložiek. Používanie obuvi bez špeciálneho označenia, pri extrémne vysokých/nízkych teplotách, môže nepriaznivo ovplyvniť jej trvanlivosť a rozsah ochrany. Každá z látok obsiahnutých v produkte môže byť alergénom. U ľudí, ktorí sú obzvlášť citliví alebo majú alergie, sa odporúča pred použitím poradiť sa s lekárom. Výrobca nenesie zodpovednosť za prípadné alergické reakcie používateľa. </w:t>
      </w:r>
      <w:r w:rsidRPr="007D2A08">
        <w:rPr>
          <w:b/>
          <w:bCs/>
          <w:sz w:val="12"/>
          <w:szCs w:val="12"/>
        </w:rPr>
        <w:t>Dôležité!</w:t>
      </w:r>
      <w:r w:rsidRPr="007D2A08">
        <w:rPr>
          <w:sz w:val="12"/>
          <w:szCs w:val="12"/>
        </w:rPr>
        <w:t xml:space="preserve"> Obuv s textilným zvrškom je menej odolná proti oderu. V prípade použitia ochrannej obuvi, ktorá sa bude používať napríklad v polohe v kľaku a ďalších polohách, v ktorých sú špičky a zvršok obuvi vystavené zvýšenému treniu a pod. V týchto oblastiach sa odporúča používať obuv s výstuhami.</w:t>
      </w:r>
    </w:p>
    <w:p w14:paraId="2C03A8EF" w14:textId="77777777" w:rsidR="007D2A08" w:rsidRPr="007D2A08" w:rsidRDefault="007D2A08" w:rsidP="007D2A08">
      <w:pPr>
        <w:rPr>
          <w:sz w:val="12"/>
          <w:szCs w:val="12"/>
        </w:rPr>
      </w:pPr>
      <w:r w:rsidRPr="007D2A08">
        <w:rPr>
          <w:b/>
          <w:bCs/>
          <w:sz w:val="12"/>
          <w:szCs w:val="12"/>
        </w:rPr>
        <w:t>Používanie.</w:t>
      </w:r>
      <w:r w:rsidRPr="007D2A08">
        <w:rPr>
          <w:sz w:val="12"/>
          <w:szCs w:val="12"/>
        </w:rPr>
        <w:t xml:space="preserve"> Používateľ je zodpovedný a povinný pred každým použitím a počas prevádzky skontrolovať a zistiť, či je stav obuvi úplný a bez poškodenia, ktoré by mohlo nepriaznivo ovplyvniť ochranné funkcie (napr. praskliny, diery, poškodené švy atď.) a či sú všetky tieto funkcie zaručené. Ak sa zistia akékoľvek abnormality, musí sa výrobok pred použitím uviesť do správneho stavu alebo vymeniť za bezchybný výrobok. Uistite sa, že je výrobok vhodný a primeraný pre zamýšľané činnosti a pracovné prostredie. Aby sa zabezpečilo, že obuv poskytuje ochranu v danom pracovnom prostredí, a aby sa posúdilo, aké ďalšie OOP by sa mali s obuvou používať, je vždy dôležité najprv vykonať posúdenie rizík v danom prostredí. Pri použití s inými ochrannými odevmi je dôležité zabezpečiť, aby boli zaručené kombinované ochranné funkcie. Obuv spĺňajúca normu EN ISO 20345:2011 chráni prsty nositeľa pred rizikom poranenia v dôsledku pádu predmetov. Poskytovaná ochrana je 200 J. Tlaková ochrana 15000 N. Žiadne OOP nemôžu zaručiť úplnú ochranu pred nebezpečenstvom, preto je potrebné pracovať opatrne. Aktuálne manuály a vyhlásenia o zhode sú k dispozícii u výrobcu a na webovej stránke b2b.procera.pl.</w:t>
      </w:r>
    </w:p>
    <w:p w14:paraId="2374A4A7" w14:textId="77777777" w:rsidR="007D2A08" w:rsidRPr="007D2A08" w:rsidRDefault="007D2A08" w:rsidP="007D2A08">
      <w:pPr>
        <w:rPr>
          <w:sz w:val="12"/>
          <w:szCs w:val="12"/>
        </w:rPr>
      </w:pPr>
      <w:r w:rsidRPr="007D2A08">
        <w:rPr>
          <w:b/>
          <w:bCs/>
          <w:sz w:val="12"/>
          <w:szCs w:val="12"/>
        </w:rPr>
        <w:t>Prispôsobenie a manipulácia.</w:t>
      </w:r>
      <w:r w:rsidRPr="007D2A08">
        <w:rPr>
          <w:sz w:val="12"/>
          <w:szCs w:val="12"/>
        </w:rPr>
        <w:t xml:space="preserve"> Pred prvým použitím vyberte správnu veľkosť. Rozsah veľkostí je uvedený vyššie. Príliš malé/príliš veľké topánky budú obmedzovať pohyb, takže nebude zabezpečená dostatočná úroveň ochrany. Na obúvanie topánok by sa mala používať lyžica na topánky. Po obutí si topánky riadne upravte zaviazaním šnúrok / upevnením zapínania. Vždy pred vyzúvaním obuvi rozviažte a povoľte všetky upevňovacie prvky/šnúrky, aby ste nohu voľne uvoľnili. Systém </w:t>
      </w:r>
      <w:proofErr w:type="spellStart"/>
      <w:r w:rsidRPr="007D2A08">
        <w:rPr>
          <w:sz w:val="12"/>
          <w:szCs w:val="12"/>
        </w:rPr>
        <w:t>Spin</w:t>
      </w:r>
      <w:proofErr w:type="spellEnd"/>
      <w:r w:rsidRPr="007D2A08">
        <w:rPr>
          <w:sz w:val="12"/>
          <w:szCs w:val="12"/>
        </w:rPr>
        <w:t>-On (platí IBA pre obuv vybavenú systémom šnurovania obuvi „</w:t>
      </w:r>
      <w:proofErr w:type="spellStart"/>
      <w:r w:rsidRPr="007D2A08">
        <w:rPr>
          <w:sz w:val="12"/>
          <w:szCs w:val="12"/>
        </w:rPr>
        <w:t>Spin</w:t>
      </w:r>
      <w:proofErr w:type="spellEnd"/>
      <w:r w:rsidRPr="007D2A08">
        <w:rPr>
          <w:sz w:val="12"/>
          <w:szCs w:val="12"/>
        </w:rPr>
        <w:t>-on”):</w:t>
      </w:r>
    </w:p>
    <w:p w14:paraId="4CDD6D9D" w14:textId="77777777" w:rsidR="007D2A08" w:rsidRPr="007D2A08" w:rsidRDefault="007D2A08" w:rsidP="007D2A08">
      <w:pPr>
        <w:numPr>
          <w:ilvl w:val="0"/>
          <w:numId w:val="1"/>
        </w:numPr>
        <w:rPr>
          <w:sz w:val="12"/>
          <w:szCs w:val="12"/>
        </w:rPr>
      </w:pPr>
      <w:r w:rsidRPr="007D2A08">
        <w:rPr>
          <w:sz w:val="12"/>
          <w:szCs w:val="12"/>
        </w:rPr>
        <w:t>vytiahnite pohyblivú časť gombíka, aby ste uvoľnili strunu</w:t>
      </w:r>
    </w:p>
    <w:p w14:paraId="65C2FCCB" w14:textId="77777777" w:rsidR="007D2A08" w:rsidRPr="007D2A08" w:rsidRDefault="007D2A08" w:rsidP="007D2A08">
      <w:pPr>
        <w:numPr>
          <w:ilvl w:val="0"/>
          <w:numId w:val="1"/>
        </w:numPr>
        <w:rPr>
          <w:sz w:val="12"/>
          <w:szCs w:val="12"/>
        </w:rPr>
      </w:pPr>
      <w:r w:rsidRPr="007D2A08">
        <w:rPr>
          <w:sz w:val="12"/>
          <w:szCs w:val="12"/>
        </w:rPr>
        <w:t>stlačte plyn</w:t>
      </w:r>
    </w:p>
    <w:p w14:paraId="0468F302" w14:textId="77777777" w:rsidR="007D2A08" w:rsidRPr="007D2A08" w:rsidRDefault="007D2A08" w:rsidP="007D2A08">
      <w:pPr>
        <w:numPr>
          <w:ilvl w:val="0"/>
          <w:numId w:val="1"/>
        </w:numPr>
        <w:rPr>
          <w:sz w:val="12"/>
          <w:szCs w:val="12"/>
        </w:rPr>
      </w:pPr>
      <w:r w:rsidRPr="007D2A08">
        <w:rPr>
          <w:sz w:val="12"/>
          <w:szCs w:val="12"/>
        </w:rPr>
        <w:t>stlačte gombík a otočte v smere hodinových ručičiek tak, aby noha správne a pevne sedela v obuvi</w:t>
      </w:r>
    </w:p>
    <w:p w14:paraId="493F3F7C" w14:textId="77777777" w:rsidR="007D2A08" w:rsidRPr="007D2A08" w:rsidRDefault="007D2A08" w:rsidP="007D2A08">
      <w:pPr>
        <w:numPr>
          <w:ilvl w:val="0"/>
          <w:numId w:val="1"/>
        </w:numPr>
        <w:rPr>
          <w:sz w:val="12"/>
          <w:szCs w:val="12"/>
        </w:rPr>
      </w:pPr>
      <w:r w:rsidRPr="007D2A08">
        <w:rPr>
          <w:sz w:val="12"/>
          <w:szCs w:val="12"/>
        </w:rPr>
        <w:t>Ak ho chcete vybrať, znova vytiahnite pohyblivú časť gombíka, aby ste uvoľnili strunu.</w:t>
      </w:r>
    </w:p>
    <w:p w14:paraId="1A7354E3" w14:textId="77777777" w:rsidR="007D2A08" w:rsidRPr="007D2A08" w:rsidRDefault="007D2A08" w:rsidP="007D2A08">
      <w:pPr>
        <w:rPr>
          <w:sz w:val="12"/>
          <w:szCs w:val="12"/>
        </w:rPr>
      </w:pPr>
      <w:r w:rsidRPr="007D2A08">
        <w:rPr>
          <w:sz w:val="12"/>
          <w:szCs w:val="12"/>
        </w:rPr>
        <w:t>Nevyzúvajte obuv tak, aby sa špička topánky jednej nohy opierala o pätu obuvi druhej nohy, pretože to spôsobuje praskanie a trenie kože v pätovej časti, čo vedie k poškodeniu výrobku. Obuv je vybraná a správne usadená, keď je noha pevne zapustená v topánke a netlačí.</w:t>
      </w:r>
    </w:p>
    <w:p w14:paraId="558C3DF6" w14:textId="77777777" w:rsidR="007D2A08" w:rsidRPr="007D2A08" w:rsidRDefault="007D2A08" w:rsidP="007D2A08">
      <w:pPr>
        <w:rPr>
          <w:sz w:val="12"/>
          <w:szCs w:val="12"/>
        </w:rPr>
      </w:pPr>
      <w:r w:rsidRPr="007D2A08">
        <w:rPr>
          <w:b/>
          <w:bCs/>
          <w:sz w:val="12"/>
          <w:szCs w:val="12"/>
        </w:rPr>
        <w:t>Balenie.</w:t>
      </w:r>
      <w:r w:rsidRPr="007D2A08">
        <w:rPr>
          <w:sz w:val="12"/>
          <w:szCs w:val="12"/>
        </w:rPr>
        <w:t xml:space="preserve"> Topánky by mali byť v pôvodnej, dobre chránenej kartónovej krabici. Zvláštnu pozornosť venujte obalu, aby nebol počas prepravy vystavený poškodeniu, znečisteniu alebo navlhnutiu.</w:t>
      </w:r>
    </w:p>
    <w:p w14:paraId="0031FABC" w14:textId="77777777" w:rsidR="007D2A08" w:rsidRPr="007D2A08" w:rsidRDefault="007D2A08" w:rsidP="007D2A08">
      <w:pPr>
        <w:rPr>
          <w:sz w:val="12"/>
          <w:szCs w:val="12"/>
        </w:rPr>
      </w:pPr>
      <w:r w:rsidRPr="007D2A08">
        <w:rPr>
          <w:b/>
          <w:bCs/>
          <w:sz w:val="12"/>
          <w:szCs w:val="12"/>
        </w:rPr>
        <w:t>Čistenie a údržba.</w:t>
      </w:r>
      <w:r w:rsidRPr="007D2A08">
        <w:rPr>
          <w:sz w:val="12"/>
          <w:szCs w:val="12"/>
        </w:rPr>
        <w:t xml:space="preserve"> Pre ochranu obuvi pred škodlivými vplyvmi vody, snehu, prachu, teploty, oderu a soli (najmä v zimnom období) je nutné obuv pred prvým použitím a pri každom čistení obuvi konzervovať. Aby sa zabezpečilo dlhodobé nosenie obuvi, je dôležité, aby bola obuv pravidelne čistená a udržiavaná kvalitnými výrobkami určenými pre daný typ materiálu. Nepoužívajte žiadne korozívne čistiace prostriedky. Vyvarujte sa premočeniu topánok. Ak bola obuv mokrá, mala by sa po použití nechať vyschnúť na chladnom, suchom a dobre vetranom mieste mimo zdrojov tepla, pretože iný spôsob sušenia môže spôsobiť poškodenie vrchného materiálu. Sušenie môže prebiehať iba pri izbovej teplote po použití stojanov na topánky alebo vyplnení obuvi mäkkým papierom. Je zakázané sušiť obuv sušičkou, ukladať ju do blízkosti kúrenia alebo podobného zariadenia (môže to viesť k deformácii tvaru, zmene farby a poškodeniu obuvi). Namočená obuv ovplyvňuje jej estetické a funkčné vlastnosti (zmena farby, tvarová deformácia).</w:t>
      </w:r>
    </w:p>
    <w:p w14:paraId="186CB526" w14:textId="77777777" w:rsidR="007D2A08" w:rsidRPr="007D2A08" w:rsidRDefault="007D2A08" w:rsidP="007D2A08">
      <w:pPr>
        <w:rPr>
          <w:sz w:val="12"/>
          <w:szCs w:val="12"/>
        </w:rPr>
      </w:pPr>
      <w:r w:rsidRPr="007D2A08">
        <w:rPr>
          <w:b/>
          <w:bCs/>
          <w:sz w:val="12"/>
          <w:szCs w:val="12"/>
        </w:rPr>
        <w:t>Ako čistiť:</w:t>
      </w:r>
      <w:r w:rsidRPr="007D2A08">
        <w:rPr>
          <w:sz w:val="12"/>
          <w:szCs w:val="12"/>
        </w:rPr>
        <w:t xml:space="preserve"> očistite mierne navlhčenou handričkou a nechajte zaschnúť. Potom naneste na obuv malé množstvo kvalitného prostriedku určeného pre daný typ materiálu a ak to povaha použitého materiálu umožňuje, vyleštite mäkkou kefou alebo bavlnenou handričkou. Nepoužívajte nepriehľadné pasty a pasty so samolepkou. Nenanášajte príliš hrubú vrstvu krému alebo pasty. Nenanášajte novú vrstvu pasty na starú vrstvu. Pri nákupe prípravku na údržbu obuvi si prečítajte informácie poskytnuté výrobcom výrobku týkajúce sa jeho použitia a zamýšľaného použitia. Nedostatočná pravidelná údržba obuvi má vplyv na jej zníženú odolnosť proti premočeniu a iným poveternostným vplyvom, ktoré môžu viesť k jej poškodeniu. Na obuv, ktorá nebola udržiavaná v súlade s pokynmi alebo ktorá vykazuje známky prirodzeného opotrebenia, sa nevzťahujú nároky na kvalitu.</w:t>
      </w:r>
    </w:p>
    <w:p w14:paraId="1D6E24C9" w14:textId="77777777" w:rsidR="007D2A08" w:rsidRPr="007D2A08" w:rsidRDefault="007D2A08" w:rsidP="007D2A08">
      <w:pPr>
        <w:rPr>
          <w:sz w:val="12"/>
          <w:szCs w:val="12"/>
        </w:rPr>
      </w:pPr>
      <w:r w:rsidRPr="007D2A08">
        <w:rPr>
          <w:b/>
          <w:bCs/>
          <w:sz w:val="12"/>
          <w:szCs w:val="12"/>
        </w:rPr>
        <w:t>Skladovanie.</w:t>
      </w:r>
      <w:r w:rsidRPr="007D2A08">
        <w:rPr>
          <w:sz w:val="12"/>
          <w:szCs w:val="12"/>
        </w:rPr>
        <w:t xml:space="preserve"> Obuv by sa mala uchovávať na suchom a vetranom mieste, v originálnych kartónových obaloch, v miestnostiach s teplotou 5 – 24 °C a vlhkosťou 50 % – 70 %. Výrobok nesmie byť vystavený extrémnym poveternostným podmienkam. Príliš vysoká/nízka teplota, príliš vysoká vlhkosť alebo intenzívne svetlo môžu nepriaznivo ovplyvniť kvalitu a použiteľnosť produktu. Mali by byť taktiež chránené pred nečistotami, mechanickým poškodením a chemikáliami. Obal sa môže použiť aj na uloženie obuvi, keď sa nepoužíva. Nedrvte ťažkými predmetmi, neveďte k ohybom alebo prehybom. Zlé podmienky môžu prispieť k zníženiu úrovne ochrany. Výrobca nenesie zodpovednosť za výrobky, ktoré boli vystavené vyššie uvedeným situáciám.</w:t>
      </w:r>
    </w:p>
    <w:p w14:paraId="2585FAC9" w14:textId="77777777" w:rsidR="007D2A08" w:rsidRPr="007D2A08" w:rsidRDefault="007D2A08" w:rsidP="007D2A08">
      <w:pPr>
        <w:rPr>
          <w:sz w:val="12"/>
          <w:szCs w:val="12"/>
        </w:rPr>
      </w:pPr>
      <w:r w:rsidRPr="007D2A08">
        <w:rPr>
          <w:b/>
          <w:bCs/>
          <w:sz w:val="12"/>
          <w:szCs w:val="12"/>
        </w:rPr>
        <w:t>Vložka.</w:t>
      </w:r>
      <w:r w:rsidRPr="007D2A08">
        <w:rPr>
          <w:sz w:val="12"/>
          <w:szCs w:val="12"/>
        </w:rPr>
        <w:t xml:space="preserve"> Obuv je dodávaná s vyberateľnou stielkou a testy boli vykonávané s touto stielkou. Stielka sa môže vymeniť iba za stielku, ktorá bola dodaná výrobcom obuvi alebo stielky a spĺňa vlastnosti normy EN ISO 20345:2011 v kombinácii s touto pracovnou alebo bezpečnostnou obuvou. Obuv, ktorá bola dodaná so stielkami, sa môže používať iba s nimi. Nepoužívajte topánky bez vložiek. Ak bola obuv dodaná bez stielok, testy boli vykonané aj bez vložiek.</w:t>
      </w:r>
    </w:p>
    <w:p w14:paraId="1FF2ACD1" w14:textId="77777777" w:rsidR="007D2A08" w:rsidRPr="007D2A08" w:rsidRDefault="007D2A08" w:rsidP="007D2A08">
      <w:pPr>
        <w:rPr>
          <w:sz w:val="12"/>
          <w:szCs w:val="12"/>
        </w:rPr>
      </w:pPr>
      <w:r w:rsidRPr="007D2A08">
        <w:rPr>
          <w:b/>
          <w:bCs/>
          <w:sz w:val="12"/>
          <w:szCs w:val="12"/>
        </w:rPr>
        <w:t>Skladovateľnosť.</w:t>
      </w:r>
      <w:r w:rsidRPr="007D2A08">
        <w:rPr>
          <w:sz w:val="12"/>
          <w:szCs w:val="12"/>
        </w:rPr>
        <w:t xml:space="preserve"> Presný dátum spotreby nie je možné určiť, pretože táto skutočnosť je ovplyvnená mnohými faktormi, ako je intenzita používania, poveternostné podmienky alebo vplyvy prostredia. Doba použiteľnosti je do značnej miery ovplyvnená spôsobom skladovania produktu - pozri bod vyššie. Pri skladovaní za vhodných podmienok (teplota a vlhkosť) je dátum použiteľnosti obuvi zvyčajne: 5 rokov od dátumu výroby u obuvi vyrobenej z kože s gumovou podrážkou, 3 roky od dátumu výroby u obuvi vyrobenej s prídavkom PU, ak je skladovaná za podmienok stanovených výrobcom.</w:t>
      </w:r>
    </w:p>
    <w:p w14:paraId="3BDC7F74" w14:textId="77777777" w:rsidR="007D2A08" w:rsidRPr="007D2A08" w:rsidRDefault="007D2A08" w:rsidP="007D2A08">
      <w:pPr>
        <w:rPr>
          <w:sz w:val="12"/>
          <w:szCs w:val="12"/>
        </w:rPr>
      </w:pPr>
      <w:r w:rsidRPr="007D2A08">
        <w:rPr>
          <w:b/>
          <w:bCs/>
          <w:sz w:val="12"/>
          <w:szCs w:val="12"/>
        </w:rPr>
        <w:t>Protišmykové vlastnosti.</w:t>
      </w:r>
      <w:r w:rsidRPr="007D2A08">
        <w:rPr>
          <w:sz w:val="12"/>
          <w:szCs w:val="12"/>
        </w:rPr>
        <w:t xml:space="preserve"> Obuv prešla testami odolnosti proti šmyku v súlade s normou: EN ISO 20345:2011. Pri skúškach vykonávaných v súlade s podmienkami obsiahnutými v normách boli skontrolované a potvrdené protišmykové vlastnosti. Je potrebné poznamenať, že skúšobné podmienky boli prispôsobené normám a nemusia nutne odrážať podmienky na pracovisku. Aby bolo možné posúdiť vhodnosť obuvi pri práci, odporúča sa vykonať predchádzajúce testy. V niektorých prevádzkových prostrediach môže stále dochádzať k šmyku.</w:t>
      </w:r>
    </w:p>
    <w:p w14:paraId="595F2EF5" w14:textId="77777777" w:rsidR="007D2A08" w:rsidRPr="007D2A08" w:rsidRDefault="007D2A08" w:rsidP="007D2A08">
      <w:pPr>
        <w:rPr>
          <w:sz w:val="12"/>
          <w:szCs w:val="12"/>
        </w:rPr>
      </w:pPr>
      <w:r w:rsidRPr="007D2A08">
        <w:rPr>
          <w:b/>
          <w:bCs/>
          <w:sz w:val="12"/>
          <w:szCs w:val="12"/>
        </w:rPr>
        <w:t>Antistatické vlastnosti.</w:t>
      </w:r>
      <w:r w:rsidRPr="007D2A08">
        <w:rPr>
          <w:sz w:val="12"/>
          <w:szCs w:val="12"/>
        </w:rPr>
        <w:t xml:space="preserve"> Antistatická obuv by sa mala používať, ak je potrebné minimalizovať hromadenie elektrostatického náboja jeho odvádzaním, čím sa zabráni riziku vznietenia iskry, napr. v prípade horľavých látok a pár, a ak nemožno úplne vylúčiť riziko úrazu elektrickým prúdom zo zariadení pod napätím z pracoviska. Antistatická obuv kladie odpor medzi chodidlom a zemou, ale nemusí poskytovať úplnú ochranu. Antistatická obuv nie je vhodná na prácu s elektrickými inštaláciami pod napätím. Je potrebné taktiež poznamenať, že antistatická obuv nemôže zaručiť dostatočnú ochranu pred úrazom elektrickým prúdom spôsobeným elektrostatickým výbojom, pretože vytvára iba odpor medzi chodidlom a podlahou. Ak nebolo riziko úrazu elektrickým prúdom spôsobeného elektrostatickým výbojom úplne vylúčené, musia sa prijať ďalšie opatrenia, aby sa tomuto riziku zabránilo. Tieto opatrenia, ako aj dodatočné testovanie, by mali byť rutinnou súčasťou programu prevencie pracovných úrazov. Antistatická obuv neposkytuje ochranu pred úrazom elektrickým prúdom spôsobeným striedavým alebo jednosmerným napätím. Ak hrozí vystavenie akémukoľvek AC alebo DC napätiu, použite elektricky izolačnú obuv na ochranu pred vážnym zranením. Elektrický odpor antistatickej obuvi sa môže výrazne zmeniť v </w:t>
      </w:r>
      <w:r w:rsidRPr="007D2A08">
        <w:rPr>
          <w:sz w:val="12"/>
          <w:szCs w:val="12"/>
        </w:rPr>
        <w:lastRenderedPageBreak/>
        <w:t>dôsledku ohybu, znečistenia alebo vlhkosti. Táto obuv nemusí plniť svoju zamýšľanú funkciu, ak je nosená vo vlhkých podmienkach. Obuv triedy I môže absorbovať vlhkosť a môže začať viesť elektrinu, ak je nosená po dlhú dobu vo vlhkých a mokrých podmienkach. Obuv triedy II je odolná voči vlhkým a mokrým podmienkam, mala by sa používať, ak existuje možnosť týchto faktorov. Ak je obuv nosená v podmienkach, kde dochádza ku kontaminácii materiálu podrážky, mali by používatelia pred vstupom do nebezpečnej oblasti vždy skontrolovať antistatické ..vlastnosti obuvi. Pri použití antistatickej obuvi by mala byť odolnosť podkladu taká, aby nenarušovala ochranu poskytovanú obuvou. Pred použitím je nevyhnutné zabezpečiť, aby obuv používaná v konkrétnom prostredí bola schopná plniť navrhnutú funkciu odvádzania elektrostatického náboja a poskytovala určitú ochranu po celú dobu svojej životnosti. Preto sa odporúča, aby používateľ vykonal test vnútorného elektrického odporu, ktorý sa bude vykonávať v pravidelných a častých intervaloch. Spolu s obuvou sa odporúča používať antistatické ponožky.</w:t>
      </w:r>
    </w:p>
    <w:p w14:paraId="33994A4A" w14:textId="77777777" w:rsidR="007D2A08" w:rsidRPr="007D2A08" w:rsidRDefault="007D2A08" w:rsidP="007D2A08">
      <w:pPr>
        <w:rPr>
          <w:sz w:val="12"/>
          <w:szCs w:val="12"/>
        </w:rPr>
      </w:pPr>
      <w:r w:rsidRPr="007D2A08">
        <w:rPr>
          <w:b/>
          <w:bCs/>
          <w:sz w:val="12"/>
          <w:szCs w:val="12"/>
        </w:rPr>
        <w:t>Odolnosť proti prepichnutiu (platí pre vybrané modely)</w:t>
      </w:r>
      <w:r w:rsidRPr="007D2A08">
        <w:rPr>
          <w:sz w:val="12"/>
          <w:szCs w:val="12"/>
        </w:rPr>
        <w:t xml:space="preserve"> Topánky, ktoré spĺňajú túto podmienku, obsahujú stielku, ktorá je odolná proti prepichnutiu. K dispozícii sú rôzne varianty </w:t>
      </w:r>
      <w:proofErr w:type="spellStart"/>
      <w:r w:rsidRPr="007D2A08">
        <w:rPr>
          <w:sz w:val="12"/>
          <w:szCs w:val="12"/>
        </w:rPr>
        <w:t>vpichovacích</w:t>
      </w:r>
      <w:proofErr w:type="spellEnd"/>
      <w:r w:rsidRPr="007D2A08">
        <w:rPr>
          <w:sz w:val="12"/>
          <w:szCs w:val="12"/>
        </w:rPr>
        <w:t xml:space="preserve"> vložiek. Najbežnejšie sú kovové vložky a vložky vyrobené z iných materiálov ako kov. Kovové vložky nezakrývajú celé chodidlo, ale sú odolnejšie voči tvaru, veľkosti, ostrosti alebo geometrii ostrého predmetu alebo nebezpečenstva, pred ktorým majú chrániť. Nekovové stielky sú pružnejšie, dokážu pokryť väčšinu chodidla, ale ich odolnosť proti prepichnutiu je viac závislá na tvare predmetu alebo nebezpečenstva, pred ktorým by mali chrániť. Obuv so stielkou odolnou proti prepichnutiu bola testovaná pomocou štandardizovaných síl a kolíkov (zrezaný kolík s priemerom 4,5 mm a silou 1100 N). So zmenšeným priemerom a zvýšeným zaťažením (dynamickým alebo statickým) na obrobky je riziko prepichnutia oveľa vyššie. Pred prácou v prostredí, kde takéto riziko existuje, sa uistite, že sú zavedené dostatočné ochranné opatrenia a dostatočná obuv a ďalšie preventívne opatrenia. Pri práci s nebezpečenstvami buďte vždy opatrní. Ak máte akékoľvek pochybnosti, obráťte sa na odborníka na bezpečnosť a ochranu zdravia, výrobcu alebo jeho autorizovaného zástupcu so žiadosťou o vysvetlenie.</w:t>
      </w:r>
    </w:p>
    <w:p w14:paraId="1AC3D832" w14:textId="77777777" w:rsidR="007D2A08" w:rsidRPr="007D2A08" w:rsidRDefault="007D2A08" w:rsidP="007D2A08">
      <w:pPr>
        <w:rPr>
          <w:sz w:val="12"/>
          <w:szCs w:val="12"/>
        </w:rPr>
      </w:pPr>
      <w:r w:rsidRPr="007D2A08">
        <w:rPr>
          <w:b/>
          <w:bCs/>
          <w:sz w:val="12"/>
          <w:szCs w:val="12"/>
        </w:rPr>
        <w:t>Likvidácia.</w:t>
      </w:r>
      <w:r w:rsidRPr="007D2A08">
        <w:rPr>
          <w:sz w:val="12"/>
          <w:szCs w:val="12"/>
        </w:rPr>
        <w:t xml:space="preserve"> Výrobok zlikvidujte v súlade s predpismi na ochranu životného prostredia a normami platnými v krajine použitia. Informácie o zložení výrobku a jeho obalu sú k dispozícii u výrobcu.</w:t>
      </w:r>
    </w:p>
    <w:p w14:paraId="6649AB70" w14:textId="77777777" w:rsidR="007D2A08" w:rsidRPr="007D2A08" w:rsidRDefault="007D2A08" w:rsidP="007D2A08">
      <w:pPr>
        <w:rPr>
          <w:sz w:val="12"/>
          <w:szCs w:val="12"/>
        </w:rPr>
      </w:pPr>
      <w:r w:rsidRPr="007D2A08">
        <w:rPr>
          <w:b/>
          <w:bCs/>
          <w:sz w:val="12"/>
          <w:szCs w:val="12"/>
        </w:rPr>
        <w:t>Oprava a výmena.</w:t>
      </w:r>
      <w:r w:rsidRPr="007D2A08">
        <w:rPr>
          <w:sz w:val="12"/>
          <w:szCs w:val="12"/>
        </w:rPr>
        <w:t xml:space="preserve"> Ak je obuv poškodená, znamená to, že už nemôže poskytovať dostatočnú bezpečnosť. Aby sa zabezpečila ochrana používateľa na nezmenenej úrovni, musí sa výrobok okamžite vymeniť za bezchybný. Obuv vybavená </w:t>
      </w:r>
      <w:proofErr w:type="spellStart"/>
      <w:r w:rsidRPr="007D2A08">
        <w:rPr>
          <w:sz w:val="12"/>
          <w:szCs w:val="12"/>
        </w:rPr>
        <w:t>tužinkou</w:t>
      </w:r>
      <w:proofErr w:type="spellEnd"/>
      <w:r w:rsidRPr="007D2A08">
        <w:rPr>
          <w:sz w:val="12"/>
          <w:szCs w:val="12"/>
        </w:rPr>
        <w:t xml:space="preserve"> sa môže poškodiť pri náraze, nehode alebo tlaku. Vzhľadom na povahu tohto poškodenia nemusí byť ľahko zreteľné. Poškodené topánky, aj keď spôsobom, ktorý je sotva badateľný, by sa mali vymeniť za nové.</w:t>
      </w:r>
    </w:p>
    <w:p w14:paraId="3342C726" w14:textId="77777777" w:rsidR="007D2A08" w:rsidRPr="007D2A08" w:rsidRDefault="007D2A08" w:rsidP="007D2A08">
      <w:pPr>
        <w:rPr>
          <w:sz w:val="12"/>
          <w:szCs w:val="12"/>
        </w:rPr>
      </w:pPr>
      <w:r w:rsidRPr="007D2A08">
        <w:rPr>
          <w:b/>
          <w:bCs/>
          <w:sz w:val="12"/>
          <w:szCs w:val="12"/>
        </w:rPr>
        <w:t>Sťažnosti.</w:t>
      </w:r>
      <w:r w:rsidRPr="007D2A08">
        <w:rPr>
          <w:sz w:val="12"/>
          <w:szCs w:val="12"/>
        </w:rPr>
        <w:t xml:space="preserve"> Podmienky pre reklamáciu tovaru a služieb sú stanovené v platných právnych predpisoch platných v krajine nákupu a použitia. Základom pre nároky kupujúceho voči predávajúcemu môže byť nesúlad tovaru so zmluvou v čase jeho uvoľnenia. Spravidla sa v prípade obuvi jej vlastnosti neurčujú individuálne a považuje sa za zhodnú so zmluvou, ak je vhodná na účel, na ktorý sa daný typ obuvi používa. V prípade nesúladu tovaru s kúpnou zmluvou je kupujúci oprávnený požadovať opravu, výmenu (ak oprava nie je možná), alebo vrátenie hodnoty tovaru až do výšky 100 % - súčasne výrobca stanovuje, že výška náhrady škody závisí od stupňa opotrebenia tovaru. Ak zistíte chybu, mali by ste ju okamžite nahlásiť, pretože používanie výrobku aj napriek zisteniu chyby môže spôsobiť jej zhoršenie a stratu záruky. Každá sťažnosť podlieha individuálnemu posúdeniu. Záruka sa poskytuje po dobu jedného roka a vzťahuje sa iba na výrobné chyby.</w:t>
      </w:r>
    </w:p>
    <w:p w14:paraId="23DEC004" w14:textId="77777777" w:rsidR="007D2A08" w:rsidRPr="007D2A08" w:rsidRDefault="007D2A08" w:rsidP="007D2A08">
      <w:pPr>
        <w:rPr>
          <w:sz w:val="10"/>
          <w:szCs w:val="10"/>
        </w:rPr>
      </w:pPr>
      <w:r w:rsidRPr="007D2A08">
        <w:rPr>
          <w:sz w:val="10"/>
          <w:szCs w:val="10"/>
        </w:rPr>
        <w:t>Predmetom sťažností nie sú:</w:t>
      </w:r>
    </w:p>
    <w:p w14:paraId="337930AC" w14:textId="77777777" w:rsidR="007D2A08" w:rsidRPr="007D2A08" w:rsidRDefault="007D2A08" w:rsidP="007D2A08">
      <w:pPr>
        <w:numPr>
          <w:ilvl w:val="0"/>
          <w:numId w:val="2"/>
        </w:numPr>
        <w:rPr>
          <w:sz w:val="10"/>
          <w:szCs w:val="10"/>
        </w:rPr>
      </w:pPr>
      <w:r w:rsidRPr="007D2A08">
        <w:rPr>
          <w:sz w:val="10"/>
          <w:szCs w:val="10"/>
        </w:rPr>
        <w:t>obuv používaná v rozpore s návodom na použitie a údržbu obuvi</w:t>
      </w:r>
    </w:p>
    <w:p w14:paraId="4B4CFA72" w14:textId="77777777" w:rsidR="007D2A08" w:rsidRPr="007D2A08" w:rsidRDefault="007D2A08" w:rsidP="007D2A08">
      <w:pPr>
        <w:numPr>
          <w:ilvl w:val="0"/>
          <w:numId w:val="2"/>
        </w:numPr>
        <w:rPr>
          <w:sz w:val="10"/>
          <w:szCs w:val="10"/>
        </w:rPr>
      </w:pPr>
      <w:r w:rsidRPr="007D2A08">
        <w:rPr>
          <w:sz w:val="10"/>
          <w:szCs w:val="10"/>
        </w:rPr>
        <w:t>obuv s mechanickým poškodením spôsobeným pri používaní</w:t>
      </w:r>
    </w:p>
    <w:p w14:paraId="6330B796" w14:textId="77777777" w:rsidR="007D2A08" w:rsidRPr="007D2A08" w:rsidRDefault="007D2A08" w:rsidP="007D2A08">
      <w:pPr>
        <w:numPr>
          <w:ilvl w:val="0"/>
          <w:numId w:val="2"/>
        </w:numPr>
        <w:rPr>
          <w:sz w:val="10"/>
          <w:szCs w:val="10"/>
        </w:rPr>
      </w:pPr>
      <w:r w:rsidRPr="007D2A08">
        <w:rPr>
          <w:sz w:val="10"/>
          <w:szCs w:val="10"/>
        </w:rPr>
        <w:t>prirodzené opotrebenie obuvi</w:t>
      </w:r>
    </w:p>
    <w:p w14:paraId="5EFFDCF7" w14:textId="77777777" w:rsidR="007D2A08" w:rsidRPr="007D2A08" w:rsidRDefault="007D2A08" w:rsidP="007D2A08">
      <w:pPr>
        <w:numPr>
          <w:ilvl w:val="0"/>
          <w:numId w:val="2"/>
        </w:numPr>
        <w:rPr>
          <w:sz w:val="10"/>
          <w:szCs w:val="10"/>
        </w:rPr>
      </w:pPr>
      <w:r w:rsidRPr="007D2A08">
        <w:rPr>
          <w:sz w:val="10"/>
          <w:szCs w:val="10"/>
        </w:rPr>
        <w:t>zmena farby podšívky</w:t>
      </w:r>
    </w:p>
    <w:p w14:paraId="18CCEA04" w14:textId="77777777" w:rsidR="007D2A08" w:rsidRPr="007D2A08" w:rsidRDefault="007D2A08" w:rsidP="007D2A08">
      <w:pPr>
        <w:numPr>
          <w:ilvl w:val="0"/>
          <w:numId w:val="2"/>
        </w:numPr>
        <w:rPr>
          <w:sz w:val="10"/>
          <w:szCs w:val="10"/>
        </w:rPr>
      </w:pPr>
      <w:r w:rsidRPr="007D2A08">
        <w:rPr>
          <w:sz w:val="10"/>
          <w:szCs w:val="10"/>
        </w:rPr>
        <w:t>estetický vzhľad obuvi, ak to nemá vplyv na zachovanie vlastností uvedených v normách</w:t>
      </w:r>
    </w:p>
    <w:p w14:paraId="083A5FB7" w14:textId="77777777" w:rsidR="007D2A08" w:rsidRPr="007D2A08" w:rsidRDefault="007D2A08" w:rsidP="007D2A08">
      <w:pPr>
        <w:numPr>
          <w:ilvl w:val="0"/>
          <w:numId w:val="2"/>
        </w:numPr>
        <w:rPr>
          <w:sz w:val="10"/>
          <w:szCs w:val="10"/>
        </w:rPr>
      </w:pPr>
      <w:r w:rsidRPr="007D2A08">
        <w:rPr>
          <w:sz w:val="10"/>
          <w:szCs w:val="10"/>
        </w:rPr>
        <w:t>poškodenie podrážky v dôsledku používania obuvi na ostrom alebo horúcom povrchu</w:t>
      </w:r>
    </w:p>
    <w:p w14:paraId="4276B52A" w14:textId="77777777" w:rsidR="007D2A08" w:rsidRPr="007D2A08" w:rsidRDefault="007D2A08" w:rsidP="007D2A08">
      <w:pPr>
        <w:numPr>
          <w:ilvl w:val="0"/>
          <w:numId w:val="2"/>
        </w:numPr>
        <w:rPr>
          <w:sz w:val="10"/>
          <w:szCs w:val="10"/>
        </w:rPr>
      </w:pPr>
      <w:r w:rsidRPr="007D2A08">
        <w:rPr>
          <w:sz w:val="10"/>
          <w:szCs w:val="10"/>
        </w:rPr>
        <w:t>nevhodne prispôsobená obuv, a to ako pre používateľa, tak pre podmienky, v ktorých sa používa.</w:t>
      </w:r>
    </w:p>
    <w:p w14:paraId="5F10E33F" w14:textId="77777777" w:rsidR="007D2A08" w:rsidRPr="007D2A08" w:rsidRDefault="007D2A08" w:rsidP="007D2A08">
      <w:pPr>
        <w:rPr>
          <w:sz w:val="10"/>
          <w:szCs w:val="10"/>
        </w:rPr>
      </w:pPr>
      <w:r w:rsidRPr="007D2A08">
        <w:rPr>
          <w:sz w:val="10"/>
          <w:szCs w:val="10"/>
        </w:rPr>
        <w:t>Výrobca ani autorizovaný zástupca nemá vplyv na individuálne vlastnosti nôh používateľa a podmienky prostredia, v ktorom sa obuv používa. Podmienkou pre posúdenie reklamácie je poskytnutie čistej a suchej obuvi. Táto príručka sa môže reprodukovať niekoľkokrát, aby si ju mohol prečítať ktorýkoľvek používateľ produktu. Ak máte akékoľvek otázky, obráťte sa na svojho výrobcu, distribútora alebo špecialistu na zdravie a bezpečnosť.</w:t>
      </w:r>
    </w:p>
    <w:p w14:paraId="25EAE3AC" w14:textId="77777777" w:rsidR="007D2A08" w:rsidRPr="007D2A08" w:rsidRDefault="007D2A08" w:rsidP="007D2A08">
      <w:pPr>
        <w:rPr>
          <w:sz w:val="10"/>
          <w:szCs w:val="10"/>
        </w:rPr>
      </w:pPr>
      <w:r w:rsidRPr="007D2A08">
        <w:rPr>
          <w:sz w:val="10"/>
          <w:szCs w:val="10"/>
        </w:rPr>
        <w:t>Upozorňujeme, že podľa nariadenia Európskeho parlamentu a Rady (EÚ) 2016/425 nemusia byť na výrobku všetky označenia, ak tomu bráni povaha OOP alebo ich veľkosť. Ak nastane situácia, keď označenia na výrobku nie sú čitateľné, potom je popis označení obsiahnutý v tomto návode záväzný.</w:t>
      </w:r>
    </w:p>
    <w:p w14:paraId="3F2CF3A8" w14:textId="77777777" w:rsidR="007D2A08" w:rsidRPr="007D2A08" w:rsidRDefault="007D2A08" w:rsidP="007D2A08">
      <w:pPr>
        <w:rPr>
          <w:sz w:val="10"/>
          <w:szCs w:val="10"/>
        </w:rPr>
      </w:pPr>
      <w:r w:rsidRPr="007D2A08">
        <w:rPr>
          <w:b/>
          <w:bCs/>
          <w:sz w:val="10"/>
          <w:szCs w:val="10"/>
        </w:rPr>
        <w:t>Označenie symbolov: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
        <w:gridCol w:w="3711"/>
      </w:tblGrid>
      <w:tr w:rsidR="007D2A08" w:rsidRPr="007D2A08" w14:paraId="47CB67B4" w14:textId="77777777" w:rsidTr="007D2A08">
        <w:trPr>
          <w:tblCellSpacing w:w="15" w:type="dxa"/>
        </w:trPr>
        <w:tc>
          <w:tcPr>
            <w:tcW w:w="0" w:type="auto"/>
            <w:vAlign w:val="center"/>
            <w:hideMark/>
          </w:tcPr>
          <w:p w14:paraId="3A8C5A62" w14:textId="77777777" w:rsidR="007D2A08" w:rsidRPr="007D2A08" w:rsidRDefault="007D2A08" w:rsidP="007D2A08">
            <w:pPr>
              <w:rPr>
                <w:b/>
                <w:bCs/>
                <w:sz w:val="10"/>
                <w:szCs w:val="10"/>
              </w:rPr>
            </w:pPr>
            <w:r w:rsidRPr="007D2A08">
              <w:rPr>
                <w:b/>
                <w:bCs/>
                <w:sz w:val="10"/>
                <w:szCs w:val="10"/>
              </w:rPr>
              <w:t>Kategória</w:t>
            </w:r>
          </w:p>
        </w:tc>
        <w:tc>
          <w:tcPr>
            <w:tcW w:w="0" w:type="auto"/>
            <w:vAlign w:val="center"/>
            <w:hideMark/>
          </w:tcPr>
          <w:p w14:paraId="35744016" w14:textId="77777777" w:rsidR="007D2A08" w:rsidRPr="007D2A08" w:rsidRDefault="007D2A08" w:rsidP="007D2A08">
            <w:pPr>
              <w:rPr>
                <w:b/>
                <w:bCs/>
                <w:sz w:val="10"/>
                <w:szCs w:val="10"/>
              </w:rPr>
            </w:pPr>
            <w:r w:rsidRPr="007D2A08">
              <w:rPr>
                <w:b/>
                <w:bCs/>
                <w:sz w:val="10"/>
                <w:szCs w:val="10"/>
              </w:rPr>
              <w:t>Ďalšie požiadavky</w:t>
            </w:r>
          </w:p>
        </w:tc>
      </w:tr>
      <w:tr w:rsidR="007D2A08" w:rsidRPr="007D2A08" w14:paraId="61B775D4" w14:textId="77777777" w:rsidTr="007D2A08">
        <w:trPr>
          <w:tblCellSpacing w:w="15" w:type="dxa"/>
        </w:trPr>
        <w:tc>
          <w:tcPr>
            <w:tcW w:w="0" w:type="auto"/>
            <w:vAlign w:val="center"/>
            <w:hideMark/>
          </w:tcPr>
          <w:p w14:paraId="61564AD1" w14:textId="77777777" w:rsidR="007D2A08" w:rsidRPr="007D2A08" w:rsidRDefault="007D2A08" w:rsidP="007D2A08">
            <w:pPr>
              <w:rPr>
                <w:sz w:val="10"/>
                <w:szCs w:val="10"/>
              </w:rPr>
            </w:pPr>
            <w:r w:rsidRPr="007D2A08">
              <w:rPr>
                <w:sz w:val="10"/>
                <w:szCs w:val="10"/>
              </w:rPr>
              <w:t>SB</w:t>
            </w:r>
          </w:p>
        </w:tc>
        <w:tc>
          <w:tcPr>
            <w:tcW w:w="0" w:type="auto"/>
            <w:vAlign w:val="center"/>
            <w:hideMark/>
          </w:tcPr>
          <w:p w14:paraId="46811961" w14:textId="77777777" w:rsidR="007D2A08" w:rsidRPr="007D2A08" w:rsidRDefault="007D2A08" w:rsidP="007D2A08">
            <w:pPr>
              <w:rPr>
                <w:sz w:val="10"/>
                <w:szCs w:val="10"/>
              </w:rPr>
            </w:pPr>
            <w:r w:rsidRPr="007D2A08">
              <w:rPr>
                <w:sz w:val="10"/>
                <w:szCs w:val="10"/>
              </w:rPr>
              <w:t xml:space="preserve">Základné bezpečnostné požiadavky (napr. ochrana špičky: odolnosť proti rozdrveniu 15 </w:t>
            </w:r>
            <w:proofErr w:type="spellStart"/>
            <w:r w:rsidRPr="007D2A08">
              <w:rPr>
                <w:sz w:val="10"/>
                <w:szCs w:val="10"/>
              </w:rPr>
              <w:t>kN</w:t>
            </w:r>
            <w:proofErr w:type="spellEnd"/>
            <w:r w:rsidRPr="007D2A08">
              <w:rPr>
                <w:sz w:val="10"/>
                <w:szCs w:val="10"/>
              </w:rPr>
              <w:t xml:space="preserve"> a 200 J (nárazy))</w:t>
            </w:r>
          </w:p>
        </w:tc>
      </w:tr>
      <w:tr w:rsidR="007D2A08" w:rsidRPr="007D2A08" w14:paraId="1A1CCDE9" w14:textId="77777777" w:rsidTr="007D2A08">
        <w:trPr>
          <w:tblCellSpacing w:w="15" w:type="dxa"/>
        </w:trPr>
        <w:tc>
          <w:tcPr>
            <w:tcW w:w="0" w:type="auto"/>
            <w:vAlign w:val="center"/>
            <w:hideMark/>
          </w:tcPr>
          <w:p w14:paraId="56302CD1" w14:textId="77777777" w:rsidR="007D2A08" w:rsidRPr="007D2A08" w:rsidRDefault="007D2A08" w:rsidP="007D2A08">
            <w:pPr>
              <w:rPr>
                <w:sz w:val="10"/>
                <w:szCs w:val="10"/>
              </w:rPr>
            </w:pPr>
            <w:r w:rsidRPr="007D2A08">
              <w:rPr>
                <w:sz w:val="10"/>
                <w:szCs w:val="10"/>
              </w:rPr>
              <w:t>S1</w:t>
            </w:r>
          </w:p>
        </w:tc>
        <w:tc>
          <w:tcPr>
            <w:tcW w:w="0" w:type="auto"/>
            <w:vAlign w:val="center"/>
            <w:hideMark/>
          </w:tcPr>
          <w:p w14:paraId="11342FDC" w14:textId="77777777" w:rsidR="007D2A08" w:rsidRPr="007D2A08" w:rsidRDefault="007D2A08" w:rsidP="007D2A08">
            <w:pPr>
              <w:rPr>
                <w:sz w:val="10"/>
                <w:szCs w:val="10"/>
              </w:rPr>
            </w:pPr>
            <w:r w:rsidRPr="007D2A08">
              <w:rPr>
                <w:sz w:val="10"/>
                <w:szCs w:val="10"/>
              </w:rPr>
              <w:t>ako SB, plus: uzavretá oblasť päty, antistatické vlastnosti, absorpcia energie v oblasti päty</w:t>
            </w:r>
          </w:p>
        </w:tc>
      </w:tr>
      <w:tr w:rsidR="007D2A08" w:rsidRPr="007D2A08" w14:paraId="2E437D91" w14:textId="77777777" w:rsidTr="007D2A08">
        <w:trPr>
          <w:tblCellSpacing w:w="15" w:type="dxa"/>
        </w:trPr>
        <w:tc>
          <w:tcPr>
            <w:tcW w:w="0" w:type="auto"/>
            <w:vAlign w:val="center"/>
            <w:hideMark/>
          </w:tcPr>
          <w:p w14:paraId="5E1425F4" w14:textId="77777777" w:rsidR="007D2A08" w:rsidRPr="007D2A08" w:rsidRDefault="007D2A08" w:rsidP="007D2A08">
            <w:pPr>
              <w:rPr>
                <w:sz w:val="10"/>
                <w:szCs w:val="10"/>
              </w:rPr>
            </w:pPr>
            <w:r w:rsidRPr="007D2A08">
              <w:rPr>
                <w:sz w:val="10"/>
                <w:szCs w:val="10"/>
              </w:rPr>
              <w:t>S2</w:t>
            </w:r>
          </w:p>
        </w:tc>
        <w:tc>
          <w:tcPr>
            <w:tcW w:w="0" w:type="auto"/>
            <w:vAlign w:val="center"/>
            <w:hideMark/>
          </w:tcPr>
          <w:p w14:paraId="4600F854" w14:textId="77777777" w:rsidR="007D2A08" w:rsidRPr="007D2A08" w:rsidRDefault="007D2A08" w:rsidP="007D2A08">
            <w:pPr>
              <w:rPr>
                <w:sz w:val="10"/>
                <w:szCs w:val="10"/>
              </w:rPr>
            </w:pPr>
            <w:r w:rsidRPr="007D2A08">
              <w:rPr>
                <w:sz w:val="10"/>
                <w:szCs w:val="10"/>
              </w:rPr>
              <w:t>ako S1, plus: odolnosť zvršku proti prieniku a absorpcii vody*</w:t>
            </w:r>
          </w:p>
        </w:tc>
      </w:tr>
      <w:tr w:rsidR="007D2A08" w:rsidRPr="007D2A08" w14:paraId="4C19E041" w14:textId="77777777" w:rsidTr="007D2A08">
        <w:trPr>
          <w:tblCellSpacing w:w="15" w:type="dxa"/>
        </w:trPr>
        <w:tc>
          <w:tcPr>
            <w:tcW w:w="0" w:type="auto"/>
            <w:vAlign w:val="center"/>
            <w:hideMark/>
          </w:tcPr>
          <w:p w14:paraId="6E34EF5A" w14:textId="77777777" w:rsidR="007D2A08" w:rsidRPr="007D2A08" w:rsidRDefault="007D2A08" w:rsidP="007D2A08">
            <w:pPr>
              <w:rPr>
                <w:sz w:val="10"/>
                <w:szCs w:val="10"/>
              </w:rPr>
            </w:pPr>
            <w:r w:rsidRPr="007D2A08">
              <w:rPr>
                <w:sz w:val="10"/>
                <w:szCs w:val="10"/>
              </w:rPr>
              <w:t>S3</w:t>
            </w:r>
          </w:p>
        </w:tc>
        <w:tc>
          <w:tcPr>
            <w:tcW w:w="0" w:type="auto"/>
            <w:vAlign w:val="center"/>
            <w:hideMark/>
          </w:tcPr>
          <w:p w14:paraId="7FCF3B10" w14:textId="77777777" w:rsidR="007D2A08" w:rsidRPr="007D2A08" w:rsidRDefault="007D2A08" w:rsidP="007D2A08">
            <w:pPr>
              <w:rPr>
                <w:sz w:val="10"/>
                <w:szCs w:val="10"/>
              </w:rPr>
            </w:pPr>
            <w:r w:rsidRPr="007D2A08">
              <w:rPr>
                <w:sz w:val="10"/>
                <w:szCs w:val="10"/>
              </w:rPr>
              <w:t>ako S2, plus: odolnosť proti prepichnutiu v súlade s použitou vložkou*</w:t>
            </w:r>
          </w:p>
        </w:tc>
      </w:tr>
      <w:tr w:rsidR="007D2A08" w:rsidRPr="007D2A08" w14:paraId="2062ECFC" w14:textId="77777777" w:rsidTr="007D2A08">
        <w:trPr>
          <w:tblCellSpacing w:w="15" w:type="dxa"/>
        </w:trPr>
        <w:tc>
          <w:tcPr>
            <w:tcW w:w="0" w:type="auto"/>
            <w:vAlign w:val="center"/>
            <w:hideMark/>
          </w:tcPr>
          <w:p w14:paraId="17BCF8CE" w14:textId="77777777" w:rsidR="007D2A08" w:rsidRPr="007D2A08" w:rsidRDefault="007D2A08" w:rsidP="007D2A08">
            <w:pPr>
              <w:rPr>
                <w:sz w:val="10"/>
                <w:szCs w:val="10"/>
              </w:rPr>
            </w:pPr>
            <w:r w:rsidRPr="007D2A08">
              <w:rPr>
                <w:sz w:val="10"/>
                <w:szCs w:val="10"/>
              </w:rPr>
              <w:t>*</w:t>
            </w:r>
          </w:p>
        </w:tc>
        <w:tc>
          <w:tcPr>
            <w:tcW w:w="0" w:type="auto"/>
            <w:vAlign w:val="center"/>
            <w:hideMark/>
          </w:tcPr>
          <w:p w14:paraId="47A1AC7C" w14:textId="77777777" w:rsidR="007D2A08" w:rsidRPr="007D2A08" w:rsidRDefault="007D2A08" w:rsidP="007D2A08">
            <w:pPr>
              <w:rPr>
                <w:sz w:val="10"/>
                <w:szCs w:val="10"/>
              </w:rPr>
            </w:pPr>
            <w:r w:rsidRPr="007D2A08">
              <w:rPr>
                <w:sz w:val="10"/>
                <w:szCs w:val="10"/>
              </w:rPr>
              <w:t>Prienik a absorpcia vody zvrškom (napr. WRU, S2, S3) sa vzťahuje iba na vrchné materiály a nezaručuje úplnú nepremokavosť celej obuvi.</w:t>
            </w:r>
          </w:p>
        </w:tc>
      </w:tr>
      <w:tr w:rsidR="007D2A08" w:rsidRPr="007D2A08" w14:paraId="590EEFB6" w14:textId="77777777" w:rsidTr="007D2A08">
        <w:trPr>
          <w:tblCellSpacing w:w="15" w:type="dxa"/>
        </w:trPr>
        <w:tc>
          <w:tcPr>
            <w:tcW w:w="0" w:type="auto"/>
            <w:vAlign w:val="center"/>
            <w:hideMark/>
          </w:tcPr>
          <w:p w14:paraId="0E2A5485" w14:textId="77777777" w:rsidR="007D2A08" w:rsidRPr="007D2A08" w:rsidRDefault="007D2A08" w:rsidP="007D2A08">
            <w:pPr>
              <w:rPr>
                <w:sz w:val="10"/>
                <w:szCs w:val="10"/>
              </w:rPr>
            </w:pPr>
          </w:p>
        </w:tc>
        <w:tc>
          <w:tcPr>
            <w:tcW w:w="0" w:type="auto"/>
            <w:vAlign w:val="center"/>
            <w:hideMark/>
          </w:tcPr>
          <w:p w14:paraId="08F9250C" w14:textId="77777777" w:rsidR="007D2A08" w:rsidRPr="007D2A08" w:rsidRDefault="007D2A08" w:rsidP="007D2A08">
            <w:pPr>
              <w:rPr>
                <w:sz w:val="10"/>
                <w:szCs w:val="10"/>
              </w:rPr>
            </w:pPr>
            <w:r w:rsidRPr="007D2A08">
              <w:rPr>
                <w:b/>
                <w:bCs/>
                <w:sz w:val="10"/>
                <w:szCs w:val="10"/>
              </w:rPr>
              <w:t>Je možné zabezpečiť dodatočnú ochranu, ktorá je na výrobku vyznačená nasledovne:</w:t>
            </w:r>
          </w:p>
        </w:tc>
      </w:tr>
      <w:tr w:rsidR="007D2A08" w:rsidRPr="007D2A08" w14:paraId="16886CBE" w14:textId="77777777" w:rsidTr="007D2A08">
        <w:trPr>
          <w:tblCellSpacing w:w="15" w:type="dxa"/>
        </w:trPr>
        <w:tc>
          <w:tcPr>
            <w:tcW w:w="0" w:type="auto"/>
            <w:vAlign w:val="center"/>
            <w:hideMark/>
          </w:tcPr>
          <w:p w14:paraId="2D0EF55B" w14:textId="77777777" w:rsidR="007D2A08" w:rsidRPr="007D2A08" w:rsidRDefault="007D2A08" w:rsidP="007D2A08">
            <w:pPr>
              <w:rPr>
                <w:sz w:val="10"/>
                <w:szCs w:val="10"/>
              </w:rPr>
            </w:pPr>
            <w:r w:rsidRPr="007D2A08">
              <w:rPr>
                <w:b/>
                <w:bCs/>
                <w:sz w:val="10"/>
                <w:szCs w:val="10"/>
              </w:rPr>
              <w:t>Symbol</w:t>
            </w:r>
          </w:p>
        </w:tc>
        <w:tc>
          <w:tcPr>
            <w:tcW w:w="0" w:type="auto"/>
            <w:vAlign w:val="center"/>
            <w:hideMark/>
          </w:tcPr>
          <w:p w14:paraId="31E76E8A" w14:textId="77777777" w:rsidR="007D2A08" w:rsidRPr="007D2A08" w:rsidRDefault="007D2A08" w:rsidP="007D2A08">
            <w:pPr>
              <w:rPr>
                <w:sz w:val="10"/>
                <w:szCs w:val="10"/>
              </w:rPr>
            </w:pPr>
            <w:r w:rsidRPr="007D2A08">
              <w:rPr>
                <w:b/>
                <w:bCs/>
                <w:sz w:val="10"/>
                <w:szCs w:val="10"/>
              </w:rPr>
              <w:t>Vlastnosti obuvi</w:t>
            </w:r>
          </w:p>
        </w:tc>
      </w:tr>
      <w:tr w:rsidR="007D2A08" w:rsidRPr="007D2A08" w14:paraId="72ED2AD3" w14:textId="77777777" w:rsidTr="007D2A08">
        <w:trPr>
          <w:tblCellSpacing w:w="15" w:type="dxa"/>
        </w:trPr>
        <w:tc>
          <w:tcPr>
            <w:tcW w:w="0" w:type="auto"/>
            <w:vAlign w:val="center"/>
            <w:hideMark/>
          </w:tcPr>
          <w:p w14:paraId="0AC068E1" w14:textId="77777777" w:rsidR="007D2A08" w:rsidRPr="007D2A08" w:rsidRDefault="007D2A08" w:rsidP="007D2A08">
            <w:pPr>
              <w:rPr>
                <w:sz w:val="10"/>
                <w:szCs w:val="10"/>
              </w:rPr>
            </w:pPr>
            <w:r w:rsidRPr="007D2A08">
              <w:rPr>
                <w:sz w:val="10"/>
                <w:szCs w:val="10"/>
              </w:rPr>
              <w:t>P</w:t>
            </w:r>
          </w:p>
        </w:tc>
        <w:tc>
          <w:tcPr>
            <w:tcW w:w="0" w:type="auto"/>
            <w:vAlign w:val="center"/>
            <w:hideMark/>
          </w:tcPr>
          <w:p w14:paraId="12842787" w14:textId="77777777" w:rsidR="007D2A08" w:rsidRPr="007D2A08" w:rsidRDefault="007D2A08" w:rsidP="007D2A08">
            <w:pPr>
              <w:rPr>
                <w:sz w:val="10"/>
                <w:szCs w:val="10"/>
              </w:rPr>
            </w:pPr>
            <w:r w:rsidRPr="007D2A08">
              <w:rPr>
                <w:sz w:val="10"/>
                <w:szCs w:val="10"/>
              </w:rPr>
              <w:t>odolnosť podrážky proti prepichnutiu silou 1100 N, s použitím 4,5 mm zrezaného klinca, stielka Kov</w:t>
            </w:r>
          </w:p>
        </w:tc>
      </w:tr>
      <w:tr w:rsidR="007D2A08" w:rsidRPr="007D2A08" w14:paraId="0F3CE1E9" w14:textId="77777777" w:rsidTr="007D2A08">
        <w:trPr>
          <w:tblCellSpacing w:w="15" w:type="dxa"/>
        </w:trPr>
        <w:tc>
          <w:tcPr>
            <w:tcW w:w="0" w:type="auto"/>
            <w:vAlign w:val="center"/>
            <w:hideMark/>
          </w:tcPr>
          <w:p w14:paraId="0F90D71E" w14:textId="77777777" w:rsidR="007D2A08" w:rsidRPr="007D2A08" w:rsidRDefault="007D2A08" w:rsidP="007D2A08">
            <w:pPr>
              <w:rPr>
                <w:sz w:val="10"/>
                <w:szCs w:val="10"/>
              </w:rPr>
            </w:pPr>
            <w:r w:rsidRPr="007D2A08">
              <w:rPr>
                <w:sz w:val="10"/>
                <w:szCs w:val="10"/>
              </w:rPr>
              <w:t>C</w:t>
            </w:r>
          </w:p>
        </w:tc>
        <w:tc>
          <w:tcPr>
            <w:tcW w:w="0" w:type="auto"/>
            <w:vAlign w:val="center"/>
            <w:hideMark/>
          </w:tcPr>
          <w:p w14:paraId="4299541E" w14:textId="77777777" w:rsidR="007D2A08" w:rsidRPr="007D2A08" w:rsidRDefault="007D2A08" w:rsidP="007D2A08">
            <w:pPr>
              <w:rPr>
                <w:sz w:val="10"/>
                <w:szCs w:val="10"/>
              </w:rPr>
            </w:pPr>
            <w:r w:rsidRPr="007D2A08">
              <w:rPr>
                <w:sz w:val="10"/>
                <w:szCs w:val="10"/>
              </w:rPr>
              <w:t xml:space="preserve">čiastočne vodivá obuv (maximálny odpor 100 </w:t>
            </w:r>
            <w:proofErr w:type="spellStart"/>
            <w:r w:rsidRPr="007D2A08">
              <w:rPr>
                <w:sz w:val="10"/>
                <w:szCs w:val="10"/>
              </w:rPr>
              <w:t>kΩ</w:t>
            </w:r>
            <w:proofErr w:type="spellEnd"/>
            <w:r w:rsidRPr="007D2A08">
              <w:rPr>
                <w:sz w:val="10"/>
                <w:szCs w:val="10"/>
              </w:rPr>
              <w:t>)</w:t>
            </w:r>
          </w:p>
        </w:tc>
      </w:tr>
      <w:tr w:rsidR="007D2A08" w:rsidRPr="007D2A08" w14:paraId="5E29D148" w14:textId="77777777" w:rsidTr="007D2A08">
        <w:trPr>
          <w:tblCellSpacing w:w="15" w:type="dxa"/>
        </w:trPr>
        <w:tc>
          <w:tcPr>
            <w:tcW w:w="0" w:type="auto"/>
            <w:vAlign w:val="center"/>
            <w:hideMark/>
          </w:tcPr>
          <w:p w14:paraId="2DB36769" w14:textId="77777777" w:rsidR="007D2A08" w:rsidRPr="007D2A08" w:rsidRDefault="007D2A08" w:rsidP="007D2A08">
            <w:pPr>
              <w:rPr>
                <w:sz w:val="10"/>
                <w:szCs w:val="10"/>
              </w:rPr>
            </w:pPr>
            <w:r w:rsidRPr="007D2A08">
              <w:rPr>
                <w:sz w:val="10"/>
                <w:szCs w:val="10"/>
              </w:rPr>
              <w:t>A</w:t>
            </w:r>
          </w:p>
        </w:tc>
        <w:tc>
          <w:tcPr>
            <w:tcW w:w="0" w:type="auto"/>
            <w:vAlign w:val="center"/>
            <w:hideMark/>
          </w:tcPr>
          <w:p w14:paraId="5692F0B9" w14:textId="77777777" w:rsidR="007D2A08" w:rsidRPr="007D2A08" w:rsidRDefault="007D2A08" w:rsidP="007D2A08">
            <w:pPr>
              <w:rPr>
                <w:sz w:val="10"/>
                <w:szCs w:val="10"/>
              </w:rPr>
            </w:pPr>
            <w:r w:rsidRPr="007D2A08">
              <w:rPr>
                <w:sz w:val="10"/>
                <w:szCs w:val="10"/>
              </w:rPr>
              <w:t xml:space="preserve">antistatická obuv (rozsah odporu od 100 </w:t>
            </w:r>
            <w:proofErr w:type="spellStart"/>
            <w:r w:rsidRPr="007D2A08">
              <w:rPr>
                <w:sz w:val="10"/>
                <w:szCs w:val="10"/>
              </w:rPr>
              <w:t>kΩ</w:t>
            </w:r>
            <w:proofErr w:type="spellEnd"/>
            <w:r w:rsidRPr="007D2A08">
              <w:rPr>
                <w:sz w:val="10"/>
                <w:szCs w:val="10"/>
              </w:rPr>
              <w:t xml:space="preserve"> do 1000 MΩ)</w:t>
            </w:r>
          </w:p>
        </w:tc>
      </w:tr>
      <w:tr w:rsidR="007D2A08" w:rsidRPr="007D2A08" w14:paraId="12E6F15D" w14:textId="77777777" w:rsidTr="007D2A08">
        <w:trPr>
          <w:tblCellSpacing w:w="15" w:type="dxa"/>
        </w:trPr>
        <w:tc>
          <w:tcPr>
            <w:tcW w:w="0" w:type="auto"/>
            <w:vAlign w:val="center"/>
            <w:hideMark/>
          </w:tcPr>
          <w:p w14:paraId="054E9C77" w14:textId="77777777" w:rsidR="007D2A08" w:rsidRPr="007D2A08" w:rsidRDefault="007D2A08" w:rsidP="007D2A08">
            <w:pPr>
              <w:rPr>
                <w:sz w:val="10"/>
                <w:szCs w:val="10"/>
              </w:rPr>
            </w:pPr>
            <w:r w:rsidRPr="007D2A08">
              <w:rPr>
                <w:sz w:val="10"/>
                <w:szCs w:val="10"/>
              </w:rPr>
              <w:t>HI</w:t>
            </w:r>
          </w:p>
        </w:tc>
        <w:tc>
          <w:tcPr>
            <w:tcW w:w="0" w:type="auto"/>
            <w:vAlign w:val="center"/>
            <w:hideMark/>
          </w:tcPr>
          <w:p w14:paraId="33D52486" w14:textId="77777777" w:rsidR="007D2A08" w:rsidRPr="007D2A08" w:rsidRDefault="007D2A08" w:rsidP="007D2A08">
            <w:pPr>
              <w:rPr>
                <w:sz w:val="10"/>
                <w:szCs w:val="10"/>
              </w:rPr>
            </w:pPr>
            <w:r w:rsidRPr="007D2A08">
              <w:rPr>
                <w:sz w:val="10"/>
                <w:szCs w:val="10"/>
              </w:rPr>
              <w:t>tepelná izolácia podrážky testované pri 150 °C po dobu 30 minút</w:t>
            </w:r>
          </w:p>
        </w:tc>
      </w:tr>
      <w:tr w:rsidR="007D2A08" w:rsidRPr="007D2A08" w14:paraId="0B0371C5" w14:textId="77777777" w:rsidTr="007D2A08">
        <w:trPr>
          <w:tblCellSpacing w:w="15" w:type="dxa"/>
        </w:trPr>
        <w:tc>
          <w:tcPr>
            <w:tcW w:w="0" w:type="auto"/>
            <w:vAlign w:val="center"/>
            <w:hideMark/>
          </w:tcPr>
          <w:p w14:paraId="40C6379B" w14:textId="77777777" w:rsidR="007D2A08" w:rsidRPr="007D2A08" w:rsidRDefault="007D2A08" w:rsidP="007D2A08">
            <w:pPr>
              <w:rPr>
                <w:sz w:val="10"/>
                <w:szCs w:val="10"/>
              </w:rPr>
            </w:pPr>
            <w:r w:rsidRPr="007D2A08">
              <w:rPr>
                <w:sz w:val="10"/>
                <w:szCs w:val="10"/>
              </w:rPr>
              <w:t>CI</w:t>
            </w:r>
          </w:p>
        </w:tc>
        <w:tc>
          <w:tcPr>
            <w:tcW w:w="0" w:type="auto"/>
            <w:vAlign w:val="center"/>
            <w:hideMark/>
          </w:tcPr>
          <w:p w14:paraId="0F4FFF57" w14:textId="77777777" w:rsidR="007D2A08" w:rsidRPr="007D2A08" w:rsidRDefault="007D2A08" w:rsidP="007D2A08">
            <w:pPr>
              <w:rPr>
                <w:sz w:val="10"/>
                <w:szCs w:val="10"/>
              </w:rPr>
            </w:pPr>
            <w:r w:rsidRPr="007D2A08">
              <w:rPr>
                <w:sz w:val="10"/>
                <w:szCs w:val="10"/>
              </w:rPr>
              <w:t>podrážka izolovaná proti chladu (testy vykonávané pri -17 °C po dobu 30 minút)</w:t>
            </w:r>
          </w:p>
        </w:tc>
      </w:tr>
      <w:tr w:rsidR="007D2A08" w:rsidRPr="007D2A08" w14:paraId="67F773DC" w14:textId="77777777" w:rsidTr="007D2A08">
        <w:trPr>
          <w:tblCellSpacing w:w="15" w:type="dxa"/>
        </w:trPr>
        <w:tc>
          <w:tcPr>
            <w:tcW w:w="0" w:type="auto"/>
            <w:vAlign w:val="center"/>
            <w:hideMark/>
          </w:tcPr>
          <w:p w14:paraId="1E3038C8" w14:textId="77777777" w:rsidR="007D2A08" w:rsidRPr="007D2A08" w:rsidRDefault="007D2A08" w:rsidP="007D2A08">
            <w:pPr>
              <w:rPr>
                <w:sz w:val="10"/>
                <w:szCs w:val="10"/>
              </w:rPr>
            </w:pPr>
            <w:r w:rsidRPr="007D2A08">
              <w:rPr>
                <w:sz w:val="10"/>
                <w:szCs w:val="10"/>
              </w:rPr>
              <w:t>E</w:t>
            </w:r>
          </w:p>
        </w:tc>
        <w:tc>
          <w:tcPr>
            <w:tcW w:w="0" w:type="auto"/>
            <w:vAlign w:val="center"/>
            <w:hideMark/>
          </w:tcPr>
          <w:p w14:paraId="3AFF1C8F" w14:textId="77777777" w:rsidR="007D2A08" w:rsidRPr="007D2A08" w:rsidRDefault="007D2A08" w:rsidP="007D2A08">
            <w:pPr>
              <w:rPr>
                <w:sz w:val="10"/>
                <w:szCs w:val="10"/>
              </w:rPr>
            </w:pPr>
            <w:r w:rsidRPr="007D2A08">
              <w:rPr>
                <w:sz w:val="10"/>
                <w:szCs w:val="10"/>
              </w:rPr>
              <w:t>absorpcia energie v oblasti päty (20 joulov)</w:t>
            </w:r>
          </w:p>
        </w:tc>
      </w:tr>
      <w:tr w:rsidR="007D2A08" w:rsidRPr="007D2A08" w14:paraId="1B429EC0" w14:textId="77777777" w:rsidTr="007D2A08">
        <w:trPr>
          <w:tblCellSpacing w:w="15" w:type="dxa"/>
        </w:trPr>
        <w:tc>
          <w:tcPr>
            <w:tcW w:w="0" w:type="auto"/>
            <w:vAlign w:val="center"/>
            <w:hideMark/>
          </w:tcPr>
          <w:p w14:paraId="1B24BDEE" w14:textId="77777777" w:rsidR="007D2A08" w:rsidRPr="007D2A08" w:rsidRDefault="007D2A08" w:rsidP="007D2A08">
            <w:pPr>
              <w:rPr>
                <w:sz w:val="10"/>
                <w:szCs w:val="10"/>
              </w:rPr>
            </w:pPr>
            <w:r w:rsidRPr="007D2A08">
              <w:rPr>
                <w:sz w:val="10"/>
                <w:szCs w:val="10"/>
              </w:rPr>
              <w:t>ESD</w:t>
            </w:r>
          </w:p>
        </w:tc>
        <w:tc>
          <w:tcPr>
            <w:tcW w:w="0" w:type="auto"/>
            <w:vAlign w:val="center"/>
            <w:hideMark/>
          </w:tcPr>
          <w:p w14:paraId="6B97025D" w14:textId="77777777" w:rsidR="007D2A08" w:rsidRPr="007D2A08" w:rsidRDefault="007D2A08" w:rsidP="007D2A08">
            <w:pPr>
              <w:rPr>
                <w:sz w:val="10"/>
                <w:szCs w:val="10"/>
              </w:rPr>
            </w:pPr>
            <w:r w:rsidRPr="007D2A08">
              <w:rPr>
                <w:sz w:val="10"/>
                <w:szCs w:val="10"/>
              </w:rPr>
              <w:t>elektrický odpor obuvi medzi 0,75 MΩ - 35 MΩ</w:t>
            </w:r>
          </w:p>
        </w:tc>
      </w:tr>
      <w:tr w:rsidR="007D2A08" w:rsidRPr="007D2A08" w14:paraId="6A5EA104" w14:textId="77777777" w:rsidTr="007D2A08">
        <w:trPr>
          <w:tblCellSpacing w:w="15" w:type="dxa"/>
        </w:trPr>
        <w:tc>
          <w:tcPr>
            <w:tcW w:w="0" w:type="auto"/>
            <w:vAlign w:val="center"/>
            <w:hideMark/>
          </w:tcPr>
          <w:p w14:paraId="65D0F40E" w14:textId="77777777" w:rsidR="007D2A08" w:rsidRPr="007D2A08" w:rsidRDefault="007D2A08" w:rsidP="007D2A08">
            <w:pPr>
              <w:rPr>
                <w:sz w:val="10"/>
                <w:szCs w:val="10"/>
              </w:rPr>
            </w:pPr>
            <w:r w:rsidRPr="007D2A08">
              <w:rPr>
                <w:sz w:val="10"/>
                <w:szCs w:val="10"/>
              </w:rPr>
              <w:t>WR</w:t>
            </w:r>
          </w:p>
        </w:tc>
        <w:tc>
          <w:tcPr>
            <w:tcW w:w="0" w:type="auto"/>
            <w:vAlign w:val="center"/>
            <w:hideMark/>
          </w:tcPr>
          <w:p w14:paraId="1C2FA1CB" w14:textId="77777777" w:rsidR="007D2A08" w:rsidRPr="007D2A08" w:rsidRDefault="007D2A08" w:rsidP="007D2A08">
            <w:pPr>
              <w:rPr>
                <w:sz w:val="10"/>
                <w:szCs w:val="10"/>
              </w:rPr>
            </w:pPr>
            <w:r w:rsidRPr="007D2A08">
              <w:rPr>
                <w:sz w:val="10"/>
                <w:szCs w:val="10"/>
              </w:rPr>
              <w:t xml:space="preserve">všetka </w:t>
            </w:r>
            <w:proofErr w:type="spellStart"/>
            <w:r w:rsidRPr="007D2A08">
              <w:rPr>
                <w:sz w:val="10"/>
                <w:szCs w:val="10"/>
              </w:rPr>
              <w:t>vodeodolná</w:t>
            </w:r>
            <w:proofErr w:type="spellEnd"/>
            <w:r w:rsidRPr="007D2A08">
              <w:rPr>
                <w:sz w:val="10"/>
                <w:szCs w:val="10"/>
              </w:rPr>
              <w:t xml:space="preserve"> obuv</w:t>
            </w:r>
          </w:p>
        </w:tc>
      </w:tr>
      <w:tr w:rsidR="007D2A08" w:rsidRPr="007D2A08" w14:paraId="1621DDB1" w14:textId="77777777" w:rsidTr="007D2A08">
        <w:trPr>
          <w:tblCellSpacing w:w="15" w:type="dxa"/>
        </w:trPr>
        <w:tc>
          <w:tcPr>
            <w:tcW w:w="0" w:type="auto"/>
            <w:vAlign w:val="center"/>
            <w:hideMark/>
          </w:tcPr>
          <w:p w14:paraId="4B54001A" w14:textId="77777777" w:rsidR="007D2A08" w:rsidRPr="007D2A08" w:rsidRDefault="007D2A08" w:rsidP="007D2A08">
            <w:pPr>
              <w:rPr>
                <w:sz w:val="10"/>
                <w:szCs w:val="10"/>
              </w:rPr>
            </w:pPr>
            <w:r w:rsidRPr="007D2A08">
              <w:rPr>
                <w:sz w:val="10"/>
                <w:szCs w:val="10"/>
              </w:rPr>
              <w:t>WRU</w:t>
            </w:r>
          </w:p>
        </w:tc>
        <w:tc>
          <w:tcPr>
            <w:tcW w:w="0" w:type="auto"/>
            <w:vAlign w:val="center"/>
            <w:hideMark/>
          </w:tcPr>
          <w:p w14:paraId="7094C3A1" w14:textId="77777777" w:rsidR="007D2A08" w:rsidRPr="007D2A08" w:rsidRDefault="007D2A08" w:rsidP="007D2A08">
            <w:pPr>
              <w:rPr>
                <w:sz w:val="10"/>
                <w:szCs w:val="10"/>
              </w:rPr>
            </w:pPr>
            <w:r w:rsidRPr="007D2A08">
              <w:rPr>
                <w:sz w:val="10"/>
                <w:szCs w:val="10"/>
              </w:rPr>
              <w:t>nepremokavý zvršok*</w:t>
            </w:r>
          </w:p>
        </w:tc>
      </w:tr>
      <w:tr w:rsidR="007D2A08" w:rsidRPr="007D2A08" w14:paraId="48CBA3B2" w14:textId="77777777" w:rsidTr="007D2A08">
        <w:trPr>
          <w:tblCellSpacing w:w="15" w:type="dxa"/>
        </w:trPr>
        <w:tc>
          <w:tcPr>
            <w:tcW w:w="0" w:type="auto"/>
            <w:vAlign w:val="center"/>
            <w:hideMark/>
          </w:tcPr>
          <w:p w14:paraId="2C429FDA" w14:textId="77777777" w:rsidR="007D2A08" w:rsidRPr="007D2A08" w:rsidRDefault="007D2A08" w:rsidP="007D2A08">
            <w:pPr>
              <w:rPr>
                <w:sz w:val="10"/>
                <w:szCs w:val="10"/>
              </w:rPr>
            </w:pPr>
            <w:r w:rsidRPr="007D2A08">
              <w:rPr>
                <w:sz w:val="10"/>
                <w:szCs w:val="10"/>
              </w:rPr>
              <w:t>M</w:t>
            </w:r>
          </w:p>
        </w:tc>
        <w:tc>
          <w:tcPr>
            <w:tcW w:w="0" w:type="auto"/>
            <w:vAlign w:val="center"/>
            <w:hideMark/>
          </w:tcPr>
          <w:p w14:paraId="12FB2BCA" w14:textId="77777777" w:rsidR="007D2A08" w:rsidRPr="007D2A08" w:rsidRDefault="007D2A08" w:rsidP="007D2A08">
            <w:pPr>
              <w:rPr>
                <w:sz w:val="10"/>
                <w:szCs w:val="10"/>
              </w:rPr>
            </w:pPr>
            <w:r w:rsidRPr="007D2A08">
              <w:rPr>
                <w:sz w:val="10"/>
                <w:szCs w:val="10"/>
              </w:rPr>
              <w:t xml:space="preserve">ochrana </w:t>
            </w:r>
            <w:proofErr w:type="spellStart"/>
            <w:r w:rsidRPr="007D2A08">
              <w:rPr>
                <w:sz w:val="10"/>
                <w:szCs w:val="10"/>
              </w:rPr>
              <w:t>metatarzu</w:t>
            </w:r>
            <w:proofErr w:type="spellEnd"/>
          </w:p>
        </w:tc>
      </w:tr>
      <w:tr w:rsidR="007D2A08" w:rsidRPr="007D2A08" w14:paraId="543892EF" w14:textId="77777777" w:rsidTr="007D2A08">
        <w:trPr>
          <w:tblCellSpacing w:w="15" w:type="dxa"/>
        </w:trPr>
        <w:tc>
          <w:tcPr>
            <w:tcW w:w="0" w:type="auto"/>
            <w:vAlign w:val="center"/>
            <w:hideMark/>
          </w:tcPr>
          <w:p w14:paraId="4753D029" w14:textId="77777777" w:rsidR="007D2A08" w:rsidRPr="007D2A08" w:rsidRDefault="007D2A08" w:rsidP="007D2A08">
            <w:pPr>
              <w:rPr>
                <w:sz w:val="10"/>
                <w:szCs w:val="10"/>
              </w:rPr>
            </w:pPr>
            <w:r w:rsidRPr="007D2A08">
              <w:rPr>
                <w:sz w:val="10"/>
                <w:szCs w:val="10"/>
              </w:rPr>
              <w:t>AN</w:t>
            </w:r>
          </w:p>
        </w:tc>
        <w:tc>
          <w:tcPr>
            <w:tcW w:w="0" w:type="auto"/>
            <w:vAlign w:val="center"/>
            <w:hideMark/>
          </w:tcPr>
          <w:p w14:paraId="75658F54" w14:textId="77777777" w:rsidR="007D2A08" w:rsidRPr="007D2A08" w:rsidRDefault="007D2A08" w:rsidP="007D2A08">
            <w:pPr>
              <w:rPr>
                <w:sz w:val="10"/>
                <w:szCs w:val="10"/>
              </w:rPr>
            </w:pPr>
            <w:r w:rsidRPr="007D2A08">
              <w:rPr>
                <w:sz w:val="10"/>
                <w:szCs w:val="10"/>
              </w:rPr>
              <w:t>ochrana členku</w:t>
            </w:r>
          </w:p>
        </w:tc>
      </w:tr>
      <w:tr w:rsidR="007D2A08" w:rsidRPr="007D2A08" w14:paraId="3BBF08EB" w14:textId="77777777" w:rsidTr="007D2A08">
        <w:trPr>
          <w:tblCellSpacing w:w="15" w:type="dxa"/>
        </w:trPr>
        <w:tc>
          <w:tcPr>
            <w:tcW w:w="0" w:type="auto"/>
            <w:vAlign w:val="center"/>
            <w:hideMark/>
          </w:tcPr>
          <w:p w14:paraId="1969B9C3" w14:textId="77777777" w:rsidR="007D2A08" w:rsidRPr="007D2A08" w:rsidRDefault="007D2A08" w:rsidP="007D2A08">
            <w:pPr>
              <w:rPr>
                <w:sz w:val="10"/>
                <w:szCs w:val="10"/>
              </w:rPr>
            </w:pPr>
            <w:r w:rsidRPr="007D2A08">
              <w:rPr>
                <w:sz w:val="10"/>
                <w:szCs w:val="10"/>
              </w:rPr>
              <w:t>CR</w:t>
            </w:r>
          </w:p>
        </w:tc>
        <w:tc>
          <w:tcPr>
            <w:tcW w:w="0" w:type="auto"/>
            <w:vAlign w:val="center"/>
            <w:hideMark/>
          </w:tcPr>
          <w:p w14:paraId="080826A4" w14:textId="77777777" w:rsidR="007D2A08" w:rsidRPr="007D2A08" w:rsidRDefault="007D2A08" w:rsidP="007D2A08">
            <w:pPr>
              <w:rPr>
                <w:sz w:val="10"/>
                <w:szCs w:val="10"/>
              </w:rPr>
            </w:pPr>
            <w:r w:rsidRPr="007D2A08">
              <w:rPr>
                <w:sz w:val="10"/>
                <w:szCs w:val="10"/>
              </w:rPr>
              <w:t>zvršok odolný proti prerezaniu</w:t>
            </w:r>
          </w:p>
        </w:tc>
      </w:tr>
      <w:tr w:rsidR="007D2A08" w:rsidRPr="007D2A08" w14:paraId="359AD407" w14:textId="77777777" w:rsidTr="007D2A08">
        <w:trPr>
          <w:tblCellSpacing w:w="15" w:type="dxa"/>
        </w:trPr>
        <w:tc>
          <w:tcPr>
            <w:tcW w:w="0" w:type="auto"/>
            <w:vAlign w:val="center"/>
            <w:hideMark/>
          </w:tcPr>
          <w:p w14:paraId="2AC5E0B6" w14:textId="77777777" w:rsidR="007D2A08" w:rsidRPr="007D2A08" w:rsidRDefault="007D2A08" w:rsidP="007D2A08">
            <w:pPr>
              <w:rPr>
                <w:sz w:val="10"/>
                <w:szCs w:val="10"/>
              </w:rPr>
            </w:pPr>
            <w:r w:rsidRPr="007D2A08">
              <w:rPr>
                <w:sz w:val="10"/>
                <w:szCs w:val="10"/>
              </w:rPr>
              <w:t>SRA</w:t>
            </w:r>
          </w:p>
        </w:tc>
        <w:tc>
          <w:tcPr>
            <w:tcW w:w="0" w:type="auto"/>
            <w:vAlign w:val="center"/>
            <w:hideMark/>
          </w:tcPr>
          <w:p w14:paraId="044A6895" w14:textId="77777777" w:rsidR="007D2A08" w:rsidRPr="007D2A08" w:rsidRDefault="007D2A08" w:rsidP="007D2A08">
            <w:pPr>
              <w:rPr>
                <w:sz w:val="10"/>
                <w:szCs w:val="10"/>
              </w:rPr>
            </w:pPr>
            <w:r w:rsidRPr="007D2A08">
              <w:rPr>
                <w:sz w:val="10"/>
                <w:szCs w:val="10"/>
              </w:rPr>
              <w:t xml:space="preserve">protišmyková obuv na keramickom podklade potiahnutom roztokom </w:t>
            </w:r>
            <w:proofErr w:type="spellStart"/>
            <w:r w:rsidRPr="007D2A08">
              <w:rPr>
                <w:sz w:val="10"/>
                <w:szCs w:val="10"/>
              </w:rPr>
              <w:t>laurylsulfátu</w:t>
            </w:r>
            <w:proofErr w:type="spellEnd"/>
            <w:r w:rsidRPr="007D2A08">
              <w:rPr>
                <w:sz w:val="10"/>
                <w:szCs w:val="10"/>
              </w:rPr>
              <w:t xml:space="preserve"> sodného (</w:t>
            </w:r>
            <w:proofErr w:type="spellStart"/>
            <w:r w:rsidRPr="007D2A08">
              <w:rPr>
                <w:sz w:val="10"/>
                <w:szCs w:val="10"/>
              </w:rPr>
              <w:t>NaLs</w:t>
            </w:r>
            <w:proofErr w:type="spellEnd"/>
            <w:r w:rsidRPr="007D2A08">
              <w:rPr>
                <w:sz w:val="10"/>
                <w:szCs w:val="10"/>
              </w:rPr>
              <w:t>)**</w:t>
            </w:r>
          </w:p>
        </w:tc>
      </w:tr>
      <w:tr w:rsidR="007D2A08" w:rsidRPr="007D2A08" w14:paraId="77BBDD96" w14:textId="77777777" w:rsidTr="007D2A08">
        <w:trPr>
          <w:tblCellSpacing w:w="15" w:type="dxa"/>
        </w:trPr>
        <w:tc>
          <w:tcPr>
            <w:tcW w:w="0" w:type="auto"/>
            <w:vAlign w:val="center"/>
            <w:hideMark/>
          </w:tcPr>
          <w:p w14:paraId="0FC4D75A" w14:textId="77777777" w:rsidR="007D2A08" w:rsidRPr="007D2A08" w:rsidRDefault="007D2A08" w:rsidP="007D2A08">
            <w:pPr>
              <w:rPr>
                <w:sz w:val="10"/>
                <w:szCs w:val="10"/>
              </w:rPr>
            </w:pPr>
            <w:r w:rsidRPr="007D2A08">
              <w:rPr>
                <w:sz w:val="10"/>
                <w:szCs w:val="10"/>
              </w:rPr>
              <w:t>SRB</w:t>
            </w:r>
          </w:p>
        </w:tc>
        <w:tc>
          <w:tcPr>
            <w:tcW w:w="0" w:type="auto"/>
            <w:vAlign w:val="center"/>
            <w:hideMark/>
          </w:tcPr>
          <w:p w14:paraId="0D866420" w14:textId="77777777" w:rsidR="007D2A08" w:rsidRPr="007D2A08" w:rsidRDefault="007D2A08" w:rsidP="007D2A08">
            <w:pPr>
              <w:rPr>
                <w:sz w:val="10"/>
                <w:szCs w:val="10"/>
              </w:rPr>
            </w:pPr>
            <w:r w:rsidRPr="007D2A08">
              <w:rPr>
                <w:sz w:val="10"/>
                <w:szCs w:val="10"/>
              </w:rPr>
              <w:t>protišmyková obuv na oceľovom podklade potiahnutom glycerínom**</w:t>
            </w:r>
          </w:p>
        </w:tc>
      </w:tr>
      <w:tr w:rsidR="007D2A08" w:rsidRPr="007D2A08" w14:paraId="6DF4474F" w14:textId="77777777" w:rsidTr="007D2A08">
        <w:trPr>
          <w:tblCellSpacing w:w="15" w:type="dxa"/>
        </w:trPr>
        <w:tc>
          <w:tcPr>
            <w:tcW w:w="0" w:type="auto"/>
            <w:vAlign w:val="center"/>
            <w:hideMark/>
          </w:tcPr>
          <w:p w14:paraId="7D30CC02" w14:textId="77777777" w:rsidR="007D2A08" w:rsidRPr="007D2A08" w:rsidRDefault="007D2A08" w:rsidP="007D2A08">
            <w:pPr>
              <w:rPr>
                <w:sz w:val="10"/>
                <w:szCs w:val="10"/>
              </w:rPr>
            </w:pPr>
            <w:r w:rsidRPr="007D2A08">
              <w:rPr>
                <w:sz w:val="10"/>
                <w:szCs w:val="10"/>
              </w:rPr>
              <w:t>SRC</w:t>
            </w:r>
          </w:p>
        </w:tc>
        <w:tc>
          <w:tcPr>
            <w:tcW w:w="0" w:type="auto"/>
            <w:vAlign w:val="center"/>
            <w:hideMark/>
          </w:tcPr>
          <w:p w14:paraId="540F6721" w14:textId="77777777" w:rsidR="007D2A08" w:rsidRPr="007D2A08" w:rsidRDefault="007D2A08" w:rsidP="007D2A08">
            <w:pPr>
              <w:rPr>
                <w:sz w:val="10"/>
                <w:szCs w:val="10"/>
              </w:rPr>
            </w:pPr>
            <w:r w:rsidRPr="007D2A08">
              <w:rPr>
                <w:sz w:val="10"/>
                <w:szCs w:val="10"/>
              </w:rPr>
              <w:t>protišmyková obuv na oboch povrchoch: SRA a SRB**</w:t>
            </w:r>
          </w:p>
        </w:tc>
      </w:tr>
      <w:tr w:rsidR="007D2A08" w:rsidRPr="007D2A08" w14:paraId="3D1E9A17" w14:textId="77777777" w:rsidTr="007D2A08">
        <w:trPr>
          <w:tblCellSpacing w:w="15" w:type="dxa"/>
        </w:trPr>
        <w:tc>
          <w:tcPr>
            <w:tcW w:w="0" w:type="auto"/>
            <w:vAlign w:val="center"/>
            <w:hideMark/>
          </w:tcPr>
          <w:p w14:paraId="4F60983C" w14:textId="77777777" w:rsidR="007D2A08" w:rsidRPr="007D2A08" w:rsidRDefault="007D2A08" w:rsidP="007D2A08">
            <w:pPr>
              <w:rPr>
                <w:sz w:val="10"/>
                <w:szCs w:val="10"/>
              </w:rPr>
            </w:pPr>
            <w:r w:rsidRPr="007D2A08">
              <w:rPr>
                <w:sz w:val="10"/>
                <w:szCs w:val="10"/>
              </w:rPr>
              <w:t>HRO</w:t>
            </w:r>
          </w:p>
        </w:tc>
        <w:tc>
          <w:tcPr>
            <w:tcW w:w="0" w:type="auto"/>
            <w:vAlign w:val="center"/>
            <w:hideMark/>
          </w:tcPr>
          <w:p w14:paraId="47BD1D6C" w14:textId="77777777" w:rsidR="007D2A08" w:rsidRPr="007D2A08" w:rsidRDefault="007D2A08" w:rsidP="007D2A08">
            <w:pPr>
              <w:rPr>
                <w:sz w:val="10"/>
                <w:szCs w:val="10"/>
              </w:rPr>
            </w:pPr>
            <w:r w:rsidRPr="007D2A08">
              <w:rPr>
                <w:sz w:val="10"/>
                <w:szCs w:val="10"/>
              </w:rPr>
              <w:t>podrážky odolné proti kontaktu s horúcou pôdou do 300 °C (+/- 5 °C)</w:t>
            </w:r>
          </w:p>
        </w:tc>
      </w:tr>
      <w:tr w:rsidR="007D2A08" w:rsidRPr="007D2A08" w14:paraId="147373AC" w14:textId="77777777" w:rsidTr="007D2A08">
        <w:trPr>
          <w:tblCellSpacing w:w="15" w:type="dxa"/>
        </w:trPr>
        <w:tc>
          <w:tcPr>
            <w:tcW w:w="0" w:type="auto"/>
            <w:vAlign w:val="center"/>
            <w:hideMark/>
          </w:tcPr>
          <w:p w14:paraId="5A0A46BC" w14:textId="77777777" w:rsidR="007D2A08" w:rsidRPr="007D2A08" w:rsidRDefault="007D2A08" w:rsidP="007D2A08">
            <w:pPr>
              <w:rPr>
                <w:sz w:val="10"/>
                <w:szCs w:val="10"/>
              </w:rPr>
            </w:pPr>
            <w:r w:rsidRPr="007D2A08">
              <w:rPr>
                <w:sz w:val="10"/>
                <w:szCs w:val="10"/>
              </w:rPr>
              <w:t>FO</w:t>
            </w:r>
          </w:p>
        </w:tc>
        <w:tc>
          <w:tcPr>
            <w:tcW w:w="0" w:type="auto"/>
            <w:vAlign w:val="center"/>
            <w:hideMark/>
          </w:tcPr>
          <w:p w14:paraId="57488717" w14:textId="77777777" w:rsidR="007D2A08" w:rsidRPr="007D2A08" w:rsidRDefault="007D2A08" w:rsidP="007D2A08">
            <w:pPr>
              <w:rPr>
                <w:sz w:val="10"/>
                <w:szCs w:val="10"/>
              </w:rPr>
            </w:pPr>
            <w:r w:rsidRPr="007D2A08">
              <w:rPr>
                <w:sz w:val="10"/>
                <w:szCs w:val="10"/>
              </w:rPr>
              <w:t>podrážky odolné voči nafte</w:t>
            </w:r>
          </w:p>
        </w:tc>
      </w:tr>
      <w:tr w:rsidR="007D2A08" w:rsidRPr="007D2A08" w14:paraId="740A0CA0" w14:textId="77777777" w:rsidTr="007D2A08">
        <w:trPr>
          <w:tblCellSpacing w:w="15" w:type="dxa"/>
        </w:trPr>
        <w:tc>
          <w:tcPr>
            <w:tcW w:w="0" w:type="auto"/>
            <w:vAlign w:val="center"/>
            <w:hideMark/>
          </w:tcPr>
          <w:p w14:paraId="2C2939B2" w14:textId="77777777" w:rsidR="007D2A08" w:rsidRPr="007D2A08" w:rsidRDefault="007D2A08" w:rsidP="007D2A08">
            <w:pPr>
              <w:rPr>
                <w:sz w:val="10"/>
                <w:szCs w:val="10"/>
              </w:rPr>
            </w:pPr>
            <w:r w:rsidRPr="007D2A08">
              <w:rPr>
                <w:sz w:val="10"/>
                <w:szCs w:val="10"/>
              </w:rPr>
              <w:t>LG</w:t>
            </w:r>
          </w:p>
        </w:tc>
        <w:tc>
          <w:tcPr>
            <w:tcW w:w="0" w:type="auto"/>
            <w:vAlign w:val="center"/>
            <w:hideMark/>
          </w:tcPr>
          <w:p w14:paraId="44971B95" w14:textId="77777777" w:rsidR="007D2A08" w:rsidRPr="007D2A08" w:rsidRDefault="007D2A08" w:rsidP="007D2A08">
            <w:pPr>
              <w:rPr>
                <w:sz w:val="10"/>
                <w:szCs w:val="10"/>
              </w:rPr>
            </w:pPr>
            <w:r w:rsidRPr="007D2A08">
              <w:rPr>
                <w:sz w:val="10"/>
                <w:szCs w:val="10"/>
              </w:rPr>
              <w:t xml:space="preserve">podrážky </w:t>
            </w:r>
            <w:proofErr w:type="spellStart"/>
            <w:r w:rsidRPr="007D2A08">
              <w:rPr>
                <w:sz w:val="10"/>
                <w:szCs w:val="10"/>
              </w:rPr>
              <w:t>Ladder</w:t>
            </w:r>
            <w:proofErr w:type="spellEnd"/>
            <w:r w:rsidRPr="007D2A08">
              <w:rPr>
                <w:sz w:val="10"/>
                <w:szCs w:val="10"/>
              </w:rPr>
              <w:t xml:space="preserve"> </w:t>
            </w:r>
            <w:proofErr w:type="spellStart"/>
            <w:r w:rsidRPr="007D2A08">
              <w:rPr>
                <w:sz w:val="10"/>
                <w:szCs w:val="10"/>
              </w:rPr>
              <w:t>grip</w:t>
            </w:r>
            <w:proofErr w:type="spellEnd"/>
          </w:p>
        </w:tc>
      </w:tr>
      <w:tr w:rsidR="007D2A08" w:rsidRPr="007D2A08" w14:paraId="39B946B2" w14:textId="77777777" w:rsidTr="007D2A08">
        <w:trPr>
          <w:tblCellSpacing w:w="15" w:type="dxa"/>
        </w:trPr>
        <w:tc>
          <w:tcPr>
            <w:tcW w:w="0" w:type="auto"/>
            <w:vAlign w:val="center"/>
            <w:hideMark/>
          </w:tcPr>
          <w:p w14:paraId="40934CBD" w14:textId="77777777" w:rsidR="007D2A08" w:rsidRPr="007D2A08" w:rsidRDefault="007D2A08" w:rsidP="007D2A08">
            <w:pPr>
              <w:rPr>
                <w:sz w:val="10"/>
                <w:szCs w:val="10"/>
              </w:rPr>
            </w:pPr>
            <w:r w:rsidRPr="007D2A08">
              <w:rPr>
                <w:sz w:val="10"/>
                <w:szCs w:val="10"/>
              </w:rPr>
              <w:t>Ø</w:t>
            </w:r>
          </w:p>
        </w:tc>
        <w:tc>
          <w:tcPr>
            <w:tcW w:w="0" w:type="auto"/>
            <w:vAlign w:val="center"/>
            <w:hideMark/>
          </w:tcPr>
          <w:p w14:paraId="6DF3B6D0" w14:textId="77777777" w:rsidR="007D2A08" w:rsidRPr="007D2A08" w:rsidRDefault="007D2A08" w:rsidP="007D2A08">
            <w:pPr>
              <w:rPr>
                <w:sz w:val="10"/>
                <w:szCs w:val="10"/>
              </w:rPr>
            </w:pPr>
            <w:r w:rsidRPr="007D2A08">
              <w:rPr>
                <w:sz w:val="10"/>
                <w:szCs w:val="10"/>
              </w:rPr>
              <w:t xml:space="preserve">Ak obuv nie je testovaná na požiadavky na </w:t>
            </w:r>
            <w:proofErr w:type="spellStart"/>
            <w:r w:rsidRPr="007D2A08">
              <w:rPr>
                <w:sz w:val="10"/>
                <w:szCs w:val="10"/>
              </w:rPr>
              <w:t>protišmykovosť</w:t>
            </w:r>
            <w:proofErr w:type="spellEnd"/>
            <w:r w:rsidRPr="007D2A08">
              <w:rPr>
                <w:sz w:val="10"/>
                <w:szCs w:val="10"/>
              </w:rPr>
              <w:t>, je označená symbolom „Ø”.</w:t>
            </w:r>
          </w:p>
        </w:tc>
      </w:tr>
      <w:tr w:rsidR="007D2A08" w:rsidRPr="007D2A08" w14:paraId="0A4CC7E6" w14:textId="77777777" w:rsidTr="007D2A08">
        <w:trPr>
          <w:tblCellSpacing w:w="15" w:type="dxa"/>
        </w:trPr>
        <w:tc>
          <w:tcPr>
            <w:tcW w:w="0" w:type="auto"/>
            <w:vAlign w:val="center"/>
            <w:hideMark/>
          </w:tcPr>
          <w:p w14:paraId="13D9DB55" w14:textId="77777777" w:rsidR="007D2A08" w:rsidRPr="007D2A08" w:rsidRDefault="007D2A08" w:rsidP="007D2A08">
            <w:pPr>
              <w:rPr>
                <w:sz w:val="10"/>
                <w:szCs w:val="10"/>
              </w:rPr>
            </w:pPr>
            <w:r w:rsidRPr="007D2A08">
              <w:rPr>
                <w:sz w:val="10"/>
                <w:szCs w:val="10"/>
              </w:rPr>
              <w:t>*</w:t>
            </w:r>
          </w:p>
        </w:tc>
        <w:tc>
          <w:tcPr>
            <w:tcW w:w="0" w:type="auto"/>
            <w:vAlign w:val="center"/>
            <w:hideMark/>
          </w:tcPr>
          <w:p w14:paraId="27BFF5FE" w14:textId="77777777" w:rsidR="007D2A08" w:rsidRPr="007D2A08" w:rsidRDefault="007D2A08" w:rsidP="007D2A08">
            <w:pPr>
              <w:rPr>
                <w:sz w:val="10"/>
                <w:szCs w:val="10"/>
              </w:rPr>
            </w:pPr>
            <w:r w:rsidRPr="007D2A08">
              <w:rPr>
                <w:sz w:val="10"/>
                <w:szCs w:val="10"/>
              </w:rPr>
              <w:t>Prienik a absorpcia vody zvrškom (napr. WRU, S2, S3) sa vzťahuje iba na vrchné materiály a nezaručuje úplnú nepremokavosť celej obuvi.</w:t>
            </w:r>
          </w:p>
        </w:tc>
      </w:tr>
      <w:tr w:rsidR="007D2A08" w:rsidRPr="007D2A08" w14:paraId="38283BDE" w14:textId="77777777" w:rsidTr="007D2A08">
        <w:trPr>
          <w:tblCellSpacing w:w="15" w:type="dxa"/>
        </w:trPr>
        <w:tc>
          <w:tcPr>
            <w:tcW w:w="0" w:type="auto"/>
            <w:vAlign w:val="center"/>
            <w:hideMark/>
          </w:tcPr>
          <w:p w14:paraId="3E9D85FE" w14:textId="77777777" w:rsidR="007D2A08" w:rsidRPr="007D2A08" w:rsidRDefault="007D2A08" w:rsidP="007D2A08">
            <w:pPr>
              <w:rPr>
                <w:sz w:val="10"/>
                <w:szCs w:val="10"/>
              </w:rPr>
            </w:pPr>
            <w:r w:rsidRPr="007D2A08">
              <w:rPr>
                <w:sz w:val="10"/>
                <w:szCs w:val="10"/>
              </w:rPr>
              <w:t>**</w:t>
            </w:r>
          </w:p>
        </w:tc>
        <w:tc>
          <w:tcPr>
            <w:tcW w:w="0" w:type="auto"/>
            <w:vAlign w:val="center"/>
            <w:hideMark/>
          </w:tcPr>
          <w:p w14:paraId="3C2A2708" w14:textId="77777777" w:rsidR="007D2A08" w:rsidRPr="007D2A08" w:rsidRDefault="007D2A08" w:rsidP="007D2A08">
            <w:pPr>
              <w:rPr>
                <w:sz w:val="10"/>
                <w:szCs w:val="10"/>
              </w:rPr>
            </w:pPr>
            <w:r w:rsidRPr="007D2A08">
              <w:rPr>
                <w:b/>
                <w:bCs/>
                <w:sz w:val="10"/>
                <w:szCs w:val="10"/>
              </w:rPr>
              <w:t>Poznámka:</w:t>
            </w:r>
            <w:r w:rsidRPr="007D2A08">
              <w:rPr>
                <w:sz w:val="10"/>
                <w:szCs w:val="10"/>
              </w:rPr>
              <w:t xml:space="preserve"> V niektorých prostrediach môže stále dochádzať k šmyku.</w:t>
            </w:r>
          </w:p>
        </w:tc>
      </w:tr>
    </w:tbl>
    <w:p w14:paraId="223214D4" w14:textId="77777777" w:rsidR="007D2A08" w:rsidRPr="007D2A08" w:rsidRDefault="007D2A08" w:rsidP="007D2A08">
      <w:pPr>
        <w:rPr>
          <w:sz w:val="10"/>
          <w:szCs w:val="10"/>
        </w:rPr>
      </w:pPr>
      <w:r w:rsidRPr="007D2A08">
        <w:rPr>
          <w:sz w:val="10"/>
          <w:szCs w:val="10"/>
        </w:rPr>
        <w:t>Označenie obuvi znamená, že obuv je v súlade s nariadením o osobných ochranných prostriedkoch a európskymi normami:</w:t>
      </w:r>
    </w:p>
    <w:p w14:paraId="7655C57B" w14:textId="77777777" w:rsidR="007D2A08" w:rsidRPr="007D2A08" w:rsidRDefault="007D2A08" w:rsidP="007D2A08">
      <w:pPr>
        <w:numPr>
          <w:ilvl w:val="0"/>
          <w:numId w:val="3"/>
        </w:numPr>
        <w:rPr>
          <w:sz w:val="10"/>
          <w:szCs w:val="10"/>
        </w:rPr>
      </w:pPr>
      <w:r w:rsidRPr="007D2A08">
        <w:rPr>
          <w:sz w:val="10"/>
          <w:szCs w:val="10"/>
        </w:rPr>
        <w:t>Registrovaná ochranná známka a obchodný názov a adresa výrobcu 2. Označenie modelu výrobcom alebo splnomocneným zástupcom 3. Značka CE, dátum výroby</w:t>
      </w:r>
    </w:p>
    <w:p w14:paraId="5385EFED" w14:textId="77777777" w:rsidR="007D2A08" w:rsidRPr="007D2A08" w:rsidRDefault="007D2A08" w:rsidP="007D2A08">
      <w:pPr>
        <w:numPr>
          <w:ilvl w:val="0"/>
          <w:numId w:val="3"/>
        </w:numPr>
        <w:rPr>
          <w:sz w:val="10"/>
          <w:szCs w:val="10"/>
        </w:rPr>
      </w:pPr>
      <w:r w:rsidRPr="007D2A08">
        <w:rPr>
          <w:sz w:val="10"/>
          <w:szCs w:val="10"/>
        </w:rPr>
        <w:t>Označenie veľkosti 5. Číslo šarže 6. Európske štandardné číslo</w:t>
      </w:r>
    </w:p>
    <w:p w14:paraId="545234D5" w14:textId="77777777" w:rsidR="007D2A08" w:rsidRPr="007D2A08" w:rsidRDefault="007D2A08" w:rsidP="007D2A08">
      <w:pPr>
        <w:rPr>
          <w:sz w:val="10"/>
          <w:szCs w:val="10"/>
        </w:rPr>
      </w:pPr>
      <w:r w:rsidRPr="007D2A08">
        <w:rPr>
          <w:sz w:val="10"/>
          <w:szCs w:val="10"/>
        </w:rPr>
        <w:t>Číslo šarže a dátum výroby nájdete na výrobku a obale.</w:t>
      </w:r>
    </w:p>
    <w:p w14:paraId="15126175" w14:textId="70C1B222" w:rsidR="007D2A08" w:rsidRPr="007D2A08" w:rsidRDefault="007D2A08" w:rsidP="007D2A08">
      <w:pPr>
        <w:rPr>
          <w:sz w:val="14"/>
          <w:szCs w:val="14"/>
        </w:rPr>
      </w:pPr>
    </w:p>
    <w:p w14:paraId="6CF7F29D" w14:textId="77777777" w:rsidR="00F24F3F" w:rsidRPr="007D2A08" w:rsidRDefault="00F24F3F">
      <w:pPr>
        <w:rPr>
          <w:sz w:val="14"/>
          <w:szCs w:val="14"/>
        </w:rPr>
      </w:pPr>
    </w:p>
    <w:sectPr w:rsidR="00F24F3F" w:rsidRPr="007D2A08" w:rsidSect="007D2A08">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81988"/>
    <w:multiLevelType w:val="multilevel"/>
    <w:tmpl w:val="6B78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A042C"/>
    <w:multiLevelType w:val="multilevel"/>
    <w:tmpl w:val="57DC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34DC5"/>
    <w:multiLevelType w:val="multilevel"/>
    <w:tmpl w:val="903C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3967209">
    <w:abstractNumId w:val="0"/>
  </w:num>
  <w:num w:numId="2" w16cid:durableId="518469098">
    <w:abstractNumId w:val="1"/>
  </w:num>
  <w:num w:numId="3" w16cid:durableId="137527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08"/>
    <w:rsid w:val="00024E33"/>
    <w:rsid w:val="00644AA9"/>
    <w:rsid w:val="007D2A08"/>
    <w:rsid w:val="00CD5C8F"/>
    <w:rsid w:val="00F24F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3653"/>
  <w15:chartTrackingRefBased/>
  <w15:docId w15:val="{DE2713D9-8FEF-4AC9-B91A-D3330A0A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D2A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7D2A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7D2A0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7D2A0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7D2A08"/>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7D2A0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D2A0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D2A0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D2A0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D2A0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7D2A0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7D2A08"/>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7D2A08"/>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7D2A08"/>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7D2A0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D2A0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D2A0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D2A08"/>
    <w:rPr>
      <w:rFonts w:eastAsiaTheme="majorEastAsia" w:cstheme="majorBidi"/>
      <w:color w:val="272727" w:themeColor="text1" w:themeTint="D8"/>
    </w:rPr>
  </w:style>
  <w:style w:type="paragraph" w:styleId="Nzov">
    <w:name w:val="Title"/>
    <w:basedOn w:val="Normlny"/>
    <w:next w:val="Normlny"/>
    <w:link w:val="NzovChar"/>
    <w:uiPriority w:val="10"/>
    <w:qFormat/>
    <w:rsid w:val="007D2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2A0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D2A0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D2A0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D2A0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D2A08"/>
    <w:rPr>
      <w:i/>
      <w:iCs/>
      <w:color w:val="404040" w:themeColor="text1" w:themeTint="BF"/>
    </w:rPr>
  </w:style>
  <w:style w:type="paragraph" w:styleId="Odsekzoznamu">
    <w:name w:val="List Paragraph"/>
    <w:basedOn w:val="Normlny"/>
    <w:uiPriority w:val="34"/>
    <w:qFormat/>
    <w:rsid w:val="007D2A08"/>
    <w:pPr>
      <w:ind w:left="720"/>
      <w:contextualSpacing/>
    </w:pPr>
  </w:style>
  <w:style w:type="character" w:styleId="Intenzvnezvraznenie">
    <w:name w:val="Intense Emphasis"/>
    <w:basedOn w:val="Predvolenpsmoodseku"/>
    <w:uiPriority w:val="21"/>
    <w:qFormat/>
    <w:rsid w:val="007D2A08"/>
    <w:rPr>
      <w:i/>
      <w:iCs/>
      <w:color w:val="2F5496" w:themeColor="accent1" w:themeShade="BF"/>
    </w:rPr>
  </w:style>
  <w:style w:type="paragraph" w:styleId="Zvraznencitcia">
    <w:name w:val="Intense Quote"/>
    <w:basedOn w:val="Normlny"/>
    <w:next w:val="Normlny"/>
    <w:link w:val="ZvraznencitciaChar"/>
    <w:uiPriority w:val="30"/>
    <w:qFormat/>
    <w:rsid w:val="007D2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7D2A08"/>
    <w:rPr>
      <w:i/>
      <w:iCs/>
      <w:color w:val="2F5496" w:themeColor="accent1" w:themeShade="BF"/>
    </w:rPr>
  </w:style>
  <w:style w:type="character" w:styleId="Zvraznenodkaz">
    <w:name w:val="Intense Reference"/>
    <w:basedOn w:val="Predvolenpsmoodseku"/>
    <w:uiPriority w:val="32"/>
    <w:qFormat/>
    <w:rsid w:val="007D2A08"/>
    <w:rPr>
      <w:b/>
      <w:bCs/>
      <w:smallCaps/>
      <w:color w:val="2F5496" w:themeColor="accent1" w:themeShade="BF"/>
      <w:spacing w:val="5"/>
    </w:rPr>
  </w:style>
  <w:style w:type="paragraph" w:styleId="Normlnywebov">
    <w:name w:val="Normal (Web)"/>
    <w:basedOn w:val="Normlny"/>
    <w:uiPriority w:val="99"/>
    <w:semiHidden/>
    <w:unhideWhenUsed/>
    <w:rsid w:val="007D2A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40140">
      <w:bodyDiv w:val="1"/>
      <w:marLeft w:val="0"/>
      <w:marRight w:val="0"/>
      <w:marTop w:val="0"/>
      <w:marBottom w:val="0"/>
      <w:divBdr>
        <w:top w:val="none" w:sz="0" w:space="0" w:color="auto"/>
        <w:left w:val="none" w:sz="0" w:space="0" w:color="auto"/>
        <w:bottom w:val="none" w:sz="0" w:space="0" w:color="auto"/>
        <w:right w:val="none" w:sz="0" w:space="0" w:color="auto"/>
      </w:divBdr>
      <w:divsChild>
        <w:div w:id="1626808614">
          <w:marLeft w:val="0"/>
          <w:marRight w:val="0"/>
          <w:marTop w:val="0"/>
          <w:marBottom w:val="0"/>
          <w:divBdr>
            <w:top w:val="none" w:sz="0" w:space="0" w:color="auto"/>
            <w:left w:val="none" w:sz="0" w:space="0" w:color="auto"/>
            <w:bottom w:val="none" w:sz="0" w:space="0" w:color="auto"/>
            <w:right w:val="none" w:sz="0" w:space="0" w:color="auto"/>
          </w:divBdr>
          <w:divsChild>
            <w:div w:id="1511526754">
              <w:marLeft w:val="0"/>
              <w:marRight w:val="0"/>
              <w:marTop w:val="0"/>
              <w:marBottom w:val="0"/>
              <w:divBdr>
                <w:top w:val="none" w:sz="0" w:space="0" w:color="auto"/>
                <w:left w:val="none" w:sz="0" w:space="0" w:color="auto"/>
                <w:bottom w:val="none" w:sz="0" w:space="0" w:color="auto"/>
                <w:right w:val="none" w:sz="0" w:space="0" w:color="auto"/>
              </w:divBdr>
              <w:divsChild>
                <w:div w:id="1776973691">
                  <w:marLeft w:val="0"/>
                  <w:marRight w:val="0"/>
                  <w:marTop w:val="0"/>
                  <w:marBottom w:val="0"/>
                  <w:divBdr>
                    <w:top w:val="none" w:sz="0" w:space="0" w:color="auto"/>
                    <w:left w:val="none" w:sz="0" w:space="0" w:color="auto"/>
                    <w:bottom w:val="none" w:sz="0" w:space="0" w:color="auto"/>
                    <w:right w:val="none" w:sz="0" w:space="0" w:color="auto"/>
                  </w:divBdr>
                  <w:divsChild>
                    <w:div w:id="863859480">
                      <w:marLeft w:val="0"/>
                      <w:marRight w:val="0"/>
                      <w:marTop w:val="0"/>
                      <w:marBottom w:val="0"/>
                      <w:divBdr>
                        <w:top w:val="none" w:sz="0" w:space="0" w:color="auto"/>
                        <w:left w:val="none" w:sz="0" w:space="0" w:color="auto"/>
                        <w:bottom w:val="none" w:sz="0" w:space="0" w:color="auto"/>
                        <w:right w:val="none" w:sz="0" w:space="0" w:color="auto"/>
                      </w:divBdr>
                    </w:div>
                    <w:div w:id="40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9314">
      <w:bodyDiv w:val="1"/>
      <w:marLeft w:val="0"/>
      <w:marRight w:val="0"/>
      <w:marTop w:val="0"/>
      <w:marBottom w:val="0"/>
      <w:divBdr>
        <w:top w:val="none" w:sz="0" w:space="0" w:color="auto"/>
        <w:left w:val="none" w:sz="0" w:space="0" w:color="auto"/>
        <w:bottom w:val="none" w:sz="0" w:space="0" w:color="auto"/>
        <w:right w:val="none" w:sz="0" w:space="0" w:color="auto"/>
      </w:divBdr>
    </w:div>
    <w:div w:id="1359434394">
      <w:bodyDiv w:val="1"/>
      <w:marLeft w:val="0"/>
      <w:marRight w:val="0"/>
      <w:marTop w:val="0"/>
      <w:marBottom w:val="0"/>
      <w:divBdr>
        <w:top w:val="none" w:sz="0" w:space="0" w:color="auto"/>
        <w:left w:val="none" w:sz="0" w:space="0" w:color="auto"/>
        <w:bottom w:val="none" w:sz="0" w:space="0" w:color="auto"/>
        <w:right w:val="none" w:sz="0" w:space="0" w:color="auto"/>
      </w:divBdr>
      <w:divsChild>
        <w:div w:id="1373917696">
          <w:marLeft w:val="0"/>
          <w:marRight w:val="0"/>
          <w:marTop w:val="0"/>
          <w:marBottom w:val="0"/>
          <w:divBdr>
            <w:top w:val="none" w:sz="0" w:space="0" w:color="auto"/>
            <w:left w:val="none" w:sz="0" w:space="0" w:color="auto"/>
            <w:bottom w:val="none" w:sz="0" w:space="0" w:color="auto"/>
            <w:right w:val="none" w:sz="0" w:space="0" w:color="auto"/>
          </w:divBdr>
          <w:divsChild>
            <w:div w:id="412241474">
              <w:marLeft w:val="0"/>
              <w:marRight w:val="0"/>
              <w:marTop w:val="0"/>
              <w:marBottom w:val="0"/>
              <w:divBdr>
                <w:top w:val="none" w:sz="0" w:space="0" w:color="auto"/>
                <w:left w:val="none" w:sz="0" w:space="0" w:color="auto"/>
                <w:bottom w:val="none" w:sz="0" w:space="0" w:color="auto"/>
                <w:right w:val="none" w:sz="0" w:space="0" w:color="auto"/>
              </w:divBdr>
              <w:divsChild>
                <w:div w:id="1405252727">
                  <w:marLeft w:val="0"/>
                  <w:marRight w:val="0"/>
                  <w:marTop w:val="0"/>
                  <w:marBottom w:val="0"/>
                  <w:divBdr>
                    <w:top w:val="none" w:sz="0" w:space="0" w:color="auto"/>
                    <w:left w:val="none" w:sz="0" w:space="0" w:color="auto"/>
                    <w:bottom w:val="none" w:sz="0" w:space="0" w:color="auto"/>
                    <w:right w:val="none" w:sz="0" w:space="0" w:color="auto"/>
                  </w:divBdr>
                  <w:divsChild>
                    <w:div w:id="778720147">
                      <w:marLeft w:val="0"/>
                      <w:marRight w:val="0"/>
                      <w:marTop w:val="0"/>
                      <w:marBottom w:val="0"/>
                      <w:divBdr>
                        <w:top w:val="none" w:sz="0" w:space="0" w:color="auto"/>
                        <w:left w:val="none" w:sz="0" w:space="0" w:color="auto"/>
                        <w:bottom w:val="none" w:sz="0" w:space="0" w:color="auto"/>
                        <w:right w:val="none" w:sz="0" w:space="0" w:color="auto"/>
                      </w:divBdr>
                    </w:div>
                    <w:div w:id="10420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6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2772</Words>
  <Characters>15805</Characters>
  <Application>Microsoft Office Word</Application>
  <DocSecurity>0</DocSecurity>
  <Lines>131</Lines>
  <Paragraphs>37</Paragraphs>
  <ScaleCrop>false</ScaleCrop>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2025-04-29T07:27:00Z</cp:lastPrinted>
  <dcterms:created xsi:type="dcterms:W3CDTF">2025-04-29T07:22:00Z</dcterms:created>
  <dcterms:modified xsi:type="dcterms:W3CDTF">2025-04-30T06:20:00Z</dcterms:modified>
</cp:coreProperties>
</file>